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kinsoku/>
        <w:autoSpaceDE/>
        <w:autoSpaceDN/>
        <w:adjustRightInd/>
        <w:snapToGrid/>
        <w:spacing w:line="240" w:lineRule="auto"/>
        <w:jc w:val="both"/>
        <w:textAlignment w:val="auto"/>
        <w:rPr>
          <w:rFonts w:ascii="方正小标宋简体" w:hAnsi="Calibri" w:eastAsia="方正小标宋简体" w:cs="方正小标宋简体"/>
          <w:snapToGrid/>
          <w:color w:val="FF0000"/>
          <w:kern w:val="15"/>
          <w:sz w:val="84"/>
          <w:szCs w:val="84"/>
          <w:lang w:val="en-US" w:eastAsia="zh-CN" w:bidi="ar-SA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4398645</wp:posOffset>
                </wp:positionH>
                <wp:positionV relativeFrom="paragraph">
                  <wp:posOffset>322580</wp:posOffset>
                </wp:positionV>
                <wp:extent cx="1549400" cy="1129665"/>
                <wp:effectExtent l="4445" t="4445" r="8255" b="889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0" cy="1129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方正小标宋简体" w:eastAsia="方正小标宋简体"/>
                                <w:color w:val="FF0000"/>
                                <w:w w:val="90"/>
                                <w:kern w:val="15"/>
                                <w:sz w:val="110"/>
                                <w:szCs w:val="110"/>
                              </w:rPr>
                            </w:pPr>
                            <w:r>
                              <w:rPr>
                                <w:rFonts w:hint="eastAsia" w:ascii="方正小标宋简体" w:eastAsia="方正小标宋简体" w:cs="方正小标宋简体"/>
                                <w:color w:val="FF0000"/>
                                <w:w w:val="90"/>
                                <w:kern w:val="15"/>
                                <w:sz w:val="110"/>
                                <w:szCs w:val="110"/>
                              </w:rPr>
                              <w:t>文件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6.35pt;margin-top:25.4pt;height:88.95pt;width:122pt;z-index:251660288;mso-width-relative:page;mso-height-relative:page;" fillcolor="#FFFFFF" filled="t" stroked="t" coordsize="21600,21600" o:gfxdata="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BbIh4NgAAAAKAQAADwAAAAAAAAABACAAAAAiAAAA&#10;ZHJzL2Rvd25yZXYueG1sUEsBAhQAFAAAAAgAh07iQG4up60HAgAANwQAAA4AAAAAAAAAAQAgAAAA&#10;JwEAAGRycy9lMm9Eb2MueG1sUEsFBgAAAAAGAAYAWQEAAKAFAAAAAA=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方正小标宋简体" w:eastAsia="方正小标宋简体"/>
                          <w:color w:val="FF0000"/>
                          <w:w w:val="90"/>
                          <w:kern w:val="15"/>
                          <w:sz w:val="110"/>
                          <w:szCs w:val="110"/>
                        </w:rPr>
                      </w:pPr>
                      <w:r>
                        <w:rPr>
                          <w:rFonts w:hint="eastAsia" w:ascii="方正小标宋简体" w:eastAsia="方正小标宋简体" w:cs="方正小标宋简体"/>
                          <w:color w:val="FF0000"/>
                          <w:w w:val="90"/>
                          <w:kern w:val="15"/>
                          <w:sz w:val="110"/>
                          <w:szCs w:val="110"/>
                        </w:rPr>
                        <w:t>文件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-208280</wp:posOffset>
                </wp:positionH>
                <wp:positionV relativeFrom="paragraph">
                  <wp:posOffset>19685</wp:posOffset>
                </wp:positionV>
                <wp:extent cx="4652645" cy="1800860"/>
                <wp:effectExtent l="0" t="0" r="0" b="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2645" cy="180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eastAsia" w:ascii="方正小标宋简体" w:eastAsia="方正小标宋简体" w:cs="方正小标宋简体"/>
                                <w:color w:val="FF0000"/>
                                <w:kern w:val="15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hint="eastAsia" w:ascii="方正小标宋简体" w:eastAsia="方正小标宋简体" w:cs="方正小标宋简体"/>
                                <w:color w:val="FF0000"/>
                                <w:kern w:val="15"/>
                                <w:sz w:val="56"/>
                                <w:szCs w:val="56"/>
                              </w:rPr>
                              <w:t>石台县市场监督管理局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default" w:ascii="方正小标宋简体" w:eastAsia="方正小标宋简体" w:cs="方正小标宋简体"/>
                                <w:color w:val="FF0000"/>
                                <w:kern w:val="15"/>
                                <w:sz w:val="56"/>
                                <w:szCs w:val="5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小标宋简体" w:eastAsia="方正小标宋简体" w:cs="方正小标宋简体"/>
                                <w:color w:val="FF0000"/>
                                <w:kern w:val="15"/>
                                <w:sz w:val="56"/>
                                <w:szCs w:val="56"/>
                                <w:lang w:val="en-US" w:eastAsia="zh-CN"/>
                              </w:rPr>
                              <w:t>石台县委老干部服务中心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eastAsia="方正小标宋简体" w:cs="方正小标宋简体"/>
                                <w:color w:val="FF0000"/>
                                <w:kern w:val="15"/>
                                <w:sz w:val="56"/>
                                <w:szCs w:val="5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小标宋简体" w:eastAsia="方正小标宋简体" w:cs="方正小标宋简体"/>
                                <w:color w:val="FF0000"/>
                                <w:kern w:val="15"/>
                                <w:sz w:val="56"/>
                                <w:szCs w:val="56"/>
                                <w:lang w:val="en-US" w:eastAsia="zh-CN"/>
                              </w:rPr>
                              <w:t>石台县民政局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ascii="方正小标宋简体" w:eastAsia="方正小标宋简体" w:cs="方正小标宋简体"/>
                                <w:color w:val="FF0000"/>
                                <w:kern w:val="15"/>
                                <w:sz w:val="84"/>
                                <w:szCs w:val="84"/>
                              </w:rPr>
                            </w:pPr>
                          </w:p>
                          <w:p>
                            <w:pPr>
                              <w:jc w:val="distribute"/>
                              <w:rPr>
                                <w:rFonts w:ascii="方正小标宋简体" w:eastAsia="方正小标宋简体"/>
                                <w:color w:val="FF0000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方正小标宋简体" w:eastAsia="方正小标宋简体" w:cs="方正小标宋简体"/>
                                <w:color w:val="FF0000"/>
                                <w:kern w:val="15"/>
                                <w:sz w:val="84"/>
                                <w:szCs w:val="84"/>
                              </w:rPr>
                              <w:t xml:space="preserve"> </w:t>
                            </w:r>
                            <w:r>
                              <w:rPr>
                                <w:rFonts w:ascii="方正小标宋简体" w:eastAsia="方正小标宋简体" w:cs="方正小标宋简体"/>
                                <w:color w:val="FF0000"/>
                                <w:sz w:val="60"/>
                                <w:szCs w:val="6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6.4pt;margin-top:1.55pt;height:141.8pt;width:366.35pt;z-index:251659264;mso-width-relative:page;mso-height-relative:page;" filled="f" stroked="f" coordsize="21600,21600" o:gfxdata="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EWxc1baAAAACQEAAA8A&#10;AAAAAAAAAQAgAAAAIgAAAGRycy9kb3ducmV2LnhtbFBLAQIUABQAAAAIAIdO4kDGlFkTowEAAEID&#10;AAAOAAAAAAAAAAEAIAAAACkBAABkcnMvZTJvRG9jLnhtbFBLBQYAAAAABgAGAFkBAAA+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eastAsia" w:ascii="方正小标宋简体" w:eastAsia="方正小标宋简体" w:cs="方正小标宋简体"/>
                          <w:color w:val="FF0000"/>
                          <w:kern w:val="15"/>
                          <w:sz w:val="56"/>
                          <w:szCs w:val="56"/>
                        </w:rPr>
                      </w:pPr>
                      <w:r>
                        <w:rPr>
                          <w:rFonts w:hint="eastAsia" w:ascii="方正小标宋简体" w:eastAsia="方正小标宋简体" w:cs="方正小标宋简体"/>
                          <w:color w:val="FF0000"/>
                          <w:kern w:val="15"/>
                          <w:sz w:val="56"/>
                          <w:szCs w:val="56"/>
                        </w:rPr>
                        <w:t>石台县市场监督管理局</w:t>
                      </w:r>
                    </w:p>
                    <w:p>
                      <w:pPr>
                        <w:jc w:val="distribute"/>
                        <w:rPr>
                          <w:rFonts w:hint="default" w:ascii="方正小标宋简体" w:eastAsia="方正小标宋简体" w:cs="方正小标宋简体"/>
                          <w:color w:val="FF0000"/>
                          <w:kern w:val="15"/>
                          <w:sz w:val="56"/>
                          <w:szCs w:val="56"/>
                          <w:lang w:val="en-US" w:eastAsia="zh-CN"/>
                        </w:rPr>
                      </w:pPr>
                      <w:r>
                        <w:rPr>
                          <w:rFonts w:hint="eastAsia" w:ascii="方正小标宋简体" w:eastAsia="方正小标宋简体" w:cs="方正小标宋简体"/>
                          <w:color w:val="FF0000"/>
                          <w:kern w:val="15"/>
                          <w:sz w:val="56"/>
                          <w:szCs w:val="56"/>
                          <w:lang w:val="en-US" w:eastAsia="zh-CN"/>
                        </w:rPr>
                        <w:t>石台县委老干部服务中心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eastAsia="方正小标宋简体" w:cs="方正小标宋简体"/>
                          <w:color w:val="FF0000"/>
                          <w:kern w:val="15"/>
                          <w:sz w:val="56"/>
                          <w:szCs w:val="56"/>
                          <w:lang w:val="en-US" w:eastAsia="zh-CN"/>
                        </w:rPr>
                      </w:pPr>
                      <w:r>
                        <w:rPr>
                          <w:rFonts w:hint="eastAsia" w:ascii="方正小标宋简体" w:eastAsia="方正小标宋简体" w:cs="方正小标宋简体"/>
                          <w:color w:val="FF0000"/>
                          <w:kern w:val="15"/>
                          <w:sz w:val="56"/>
                          <w:szCs w:val="56"/>
                          <w:lang w:val="en-US" w:eastAsia="zh-CN"/>
                        </w:rPr>
                        <w:t>石台县民政局</w:t>
                      </w:r>
                    </w:p>
                    <w:p>
                      <w:pPr>
                        <w:jc w:val="distribute"/>
                        <w:rPr>
                          <w:rFonts w:ascii="方正小标宋简体" w:eastAsia="方正小标宋简体" w:cs="方正小标宋简体"/>
                          <w:color w:val="FF0000"/>
                          <w:kern w:val="15"/>
                          <w:sz w:val="84"/>
                          <w:szCs w:val="84"/>
                        </w:rPr>
                      </w:pPr>
                    </w:p>
                    <w:p>
                      <w:pPr>
                        <w:jc w:val="distribute"/>
                        <w:rPr>
                          <w:rFonts w:ascii="方正小标宋简体" w:eastAsia="方正小标宋简体"/>
                          <w:color w:val="FF0000"/>
                          <w:sz w:val="60"/>
                          <w:szCs w:val="60"/>
                        </w:rPr>
                      </w:pPr>
                      <w:r>
                        <w:rPr>
                          <w:rFonts w:ascii="方正小标宋简体" w:eastAsia="方正小标宋简体" w:cs="方正小标宋简体"/>
                          <w:color w:val="FF0000"/>
                          <w:kern w:val="15"/>
                          <w:sz w:val="84"/>
                          <w:szCs w:val="84"/>
                        </w:rPr>
                        <w:t xml:space="preserve"> </w:t>
                      </w:r>
                      <w:r>
                        <w:rPr>
                          <w:rFonts w:ascii="方正小标宋简体" w:eastAsia="方正小标宋简体" w:cs="方正小标宋简体"/>
                          <w:color w:val="FF0000"/>
                          <w:sz w:val="60"/>
                          <w:szCs w:val="6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pacing w:line="361" w:lineRule="auto"/>
        <w:rPr>
          <w:rFonts w:ascii="Arial"/>
          <w:sz w:val="21"/>
        </w:rPr>
      </w:pPr>
    </w:p>
    <w:p>
      <w:pPr>
        <w:spacing w:before="104" w:line="80" w:lineRule="exact"/>
        <w:textAlignment w:val="center"/>
      </w:pPr>
    </w:p>
    <w:p>
      <w:pPr>
        <w:spacing w:before="104" w:line="80" w:lineRule="exact"/>
        <w:textAlignment w:val="center"/>
      </w:pPr>
    </w:p>
    <w:p>
      <w:pPr>
        <w:spacing w:before="104" w:line="80" w:lineRule="exact"/>
        <w:textAlignment w:val="center"/>
      </w:pPr>
    </w:p>
    <w:p>
      <w:pPr>
        <w:spacing w:before="104" w:line="80" w:lineRule="exact"/>
        <w:textAlignment w:val="center"/>
      </w:pPr>
    </w:p>
    <w:p>
      <w:pPr>
        <w:spacing w:before="104" w:line="80" w:lineRule="exact"/>
        <w:textAlignment w:val="center"/>
      </w:pPr>
    </w:p>
    <w:p>
      <w:pPr>
        <w:spacing w:before="104" w:line="80" w:lineRule="exact"/>
        <w:textAlignment w:val="center"/>
      </w:pPr>
    </w:p>
    <w:p>
      <w:pPr>
        <w:spacing w:before="104" w:line="80" w:lineRule="exact"/>
        <w:textAlignment w:val="center"/>
      </w:pPr>
    </w:p>
    <w:p>
      <w:pPr>
        <w:spacing w:before="104" w:line="80" w:lineRule="exact"/>
        <w:textAlignment w:val="center"/>
      </w:pPr>
    </w:p>
    <w:p>
      <w:pPr>
        <w:spacing w:before="104" w:line="80" w:lineRule="exact"/>
        <w:textAlignment w:val="center"/>
      </w:pPr>
    </w:p>
    <w:p>
      <w:pPr>
        <w:spacing w:before="240" w:line="361" w:lineRule="auto"/>
        <w:ind w:left="329" w:right="399" w:firstLine="660"/>
        <w:jc w:val="center"/>
        <w:rPr>
          <w:rFonts w:ascii="Arial"/>
          <w:sz w:val="21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-139700</wp:posOffset>
                </wp:positionH>
                <wp:positionV relativeFrom="paragraph">
                  <wp:posOffset>487045</wp:posOffset>
                </wp:positionV>
                <wp:extent cx="5810250" cy="20955"/>
                <wp:effectExtent l="0" t="13970" r="0" b="22225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20955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1pt;margin-top:38.35pt;height:1.65pt;width:457.5pt;z-index:251661312;mso-width-relative:page;mso-height-relative:page;" filled="f" stroked="t" coordsize="21600,21600" o:gfxdata="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icDR7NgAAAAJAQAADwAA&#10;AAAAAAABACAAAAAiAAAAZHJzL2Rvd25yZXYueG1sUEsBAhQAFAAAAAgAh07iQAUKqlndAQAAoQMA&#10;AA4AAAAAAAAAAQAgAAAAJwEAAGRycy9lMm9Eb2MueG1sUEsFBgAAAAAGAAYAWQEAAHYFAAAAAA==&#10;">
                <v:fill on="f" focussize="0,0"/>
                <v:stroke weight="2.25pt" color="#FF0000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t>石市监管</w:t>
      </w:r>
      <w:r>
        <w:rPr>
          <w:rFonts w:ascii="仿宋" w:hAnsi="仿宋" w:eastAsia="仿宋" w:cs="仿宋"/>
          <w:sz w:val="31"/>
          <w:szCs w:val="31"/>
        </w:rPr>
        <w:t>〔2022〕</w:t>
      </w: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t>61</w:t>
      </w:r>
      <w:r>
        <w:rPr>
          <w:rFonts w:ascii="仿宋" w:hAnsi="仿宋" w:eastAsia="仿宋" w:cs="仿宋"/>
          <w:sz w:val="31"/>
          <w:szCs w:val="31"/>
        </w:rPr>
        <w:t>号</w:t>
      </w:r>
    </w:p>
    <w:p>
      <w:pPr>
        <w:spacing w:line="284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>
      <w:pPr>
        <w:spacing w:before="146" w:line="267" w:lineRule="auto"/>
        <w:ind w:left="436" w:leftChars="0" w:right="40" w:rightChars="0" w:hanging="16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7"/>
          <w:sz w:val="44"/>
          <w:szCs w:val="44"/>
          <w14:textOutline w14:w="8166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关于印发《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7"/>
          <w:sz w:val="44"/>
          <w:szCs w:val="44"/>
          <w:lang w:val="en-US" w:eastAsia="zh-CN"/>
          <w14:textOutline w14:w="8166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石台县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7"/>
          <w:sz w:val="44"/>
          <w:szCs w:val="44"/>
          <w14:textOutline w14:w="8166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保健食品科普宣传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-22"/>
          <w:w w:val="97"/>
          <w:sz w:val="44"/>
          <w:szCs w:val="44"/>
          <w:lang w:eastAsia="zh-CN"/>
          <w14:textOutline w14:w="8166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“进老年大学、进养老机构”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-13"/>
          <w:sz w:val="44"/>
          <w:szCs w:val="44"/>
          <w14:textOutline w14:w="8166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活动方案》的通知</w:t>
      </w: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各有关部门: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现将《石台县保健食品科普宣传进“老年大学、进养老机构</w:t>
      </w:r>
      <w:r>
        <w:rPr>
          <w:rFonts w:hint="default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”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活动方案》,现印发给你们,请认真贯彻落实 。</w:t>
      </w:r>
    </w:p>
    <w:p>
      <w:pPr>
        <w:rPr>
          <w:rFonts w:ascii="Arial"/>
          <w:sz w:val="32"/>
          <w:szCs w:val="32"/>
        </w:rPr>
      </w:pPr>
    </w:p>
    <w:p>
      <w:pPr>
        <w:rPr>
          <w:rFonts w:ascii="Arial"/>
          <w:sz w:val="32"/>
          <w:szCs w:val="32"/>
        </w:rPr>
      </w:pPr>
    </w:p>
    <w:p>
      <w:pPr>
        <w:rPr>
          <w:rFonts w:ascii="Arial"/>
          <w:sz w:val="32"/>
          <w:szCs w:val="32"/>
        </w:rPr>
      </w:pPr>
    </w:p>
    <w:p>
      <w:pPr>
        <w:spacing w:line="241" w:lineRule="auto"/>
        <w:rPr>
          <w:rFonts w:ascii="Arial"/>
          <w:sz w:val="32"/>
          <w:szCs w:val="32"/>
        </w:rPr>
      </w:pPr>
    </w:p>
    <w:p>
      <w:pPr>
        <w:spacing w:before="101" w:line="222" w:lineRule="auto"/>
        <w:ind w:firstLine="320" w:firstLineChars="100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 xml:space="preserve">石台县市场监督管理局 </w:t>
      </w:r>
      <w:r>
        <w:rPr>
          <w:rFonts w:hint="eastAsia" w:ascii="仿宋" w:hAnsi="仿宋" w:eastAsia="仿宋" w:cs="仿宋"/>
          <w:spacing w:val="-1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石台县委老干部服务中心</w:t>
      </w:r>
    </w:p>
    <w:p>
      <w:pPr>
        <w:spacing w:line="251" w:lineRule="auto"/>
        <w:rPr>
          <w:rFonts w:ascii="Arial"/>
          <w:sz w:val="32"/>
          <w:szCs w:val="32"/>
        </w:rPr>
      </w:pPr>
    </w:p>
    <w:p>
      <w:pPr>
        <w:spacing w:line="251" w:lineRule="auto"/>
        <w:rPr>
          <w:rFonts w:ascii="Arial"/>
          <w:sz w:val="32"/>
          <w:szCs w:val="32"/>
        </w:rPr>
      </w:pPr>
    </w:p>
    <w:p>
      <w:pPr>
        <w:spacing w:line="251" w:lineRule="auto"/>
        <w:rPr>
          <w:rFonts w:ascii="Arial"/>
          <w:sz w:val="32"/>
          <w:szCs w:val="32"/>
        </w:rPr>
      </w:pPr>
    </w:p>
    <w:p>
      <w:pPr>
        <w:spacing w:before="101" w:line="222" w:lineRule="auto"/>
        <w:ind w:firstLine="640" w:firstLineChars="200"/>
        <w:jc w:val="left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</w:p>
    <w:p>
      <w:pPr>
        <w:spacing w:before="101" w:line="222" w:lineRule="auto"/>
        <w:ind w:firstLine="640" w:firstLineChars="200"/>
        <w:jc w:val="left"/>
        <w:rPr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 xml:space="preserve">  石台县民政局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440" w:firstLineChars="1700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2022年4月15日</w:t>
      </w:r>
    </w:p>
    <w:p>
      <w:pPr>
        <w:pStyle w:val="2"/>
        <w:rPr>
          <w:rFonts w:hint="eastAsia"/>
          <w:lang w:val="en-US" w:eastAsia="zh-CN"/>
        </w:rPr>
      </w:pPr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ind w:left="985" w:right="176" w:rightChars="0" w:hanging="639"/>
        <w:jc w:val="center"/>
        <w:rPr>
          <w:rFonts w:ascii="宋体" w:hAnsi="宋体" w:eastAsia="宋体" w:cs="宋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5"/>
          <w:sz w:val="44"/>
          <w:szCs w:val="44"/>
          <w:lang w:val="en-US" w:eastAsia="zh-CN"/>
          <w14:textOutline w14:w="7988" w14:cap="flat" w14:cmpd="sng">
            <w14:solidFill>
              <w14:srgbClr w14:val="000000"/>
            </w14:solidFill>
            <w14:prstDash w14:val="solid"/>
            <w14:miter w14:val="0"/>
          </w14:textOutline>
        </w:rPr>
        <w:t>石台县</w:t>
      </w:r>
      <w:r>
        <w:rPr>
          <w:rFonts w:hint="eastAsia" w:ascii="方正小标宋简体" w:hAnsi="方正小标宋简体" w:eastAsia="方正小标宋简体" w:cs="方正小标宋简体"/>
          <w:spacing w:val="5"/>
          <w:sz w:val="44"/>
          <w:szCs w:val="44"/>
          <w14:textOutline w14:w="7988" w14:cap="flat" w14:cmpd="sng">
            <w14:solidFill>
              <w14:srgbClr w14:val="000000"/>
            </w14:solidFill>
            <w14:prstDash w14:val="solid"/>
            <w14:miter w14:val="0"/>
          </w14:textOutline>
        </w:rPr>
        <w:t>保健食品科普宣传"进老年大学、</w:t>
      </w:r>
      <w:r>
        <w:rPr>
          <w:rFonts w:hint="eastAsia" w:ascii="方正小标宋简体" w:hAnsi="方正小标宋简体" w:eastAsia="方正小标宋简体" w:cs="方正小标宋简体"/>
          <w:spacing w:val="7"/>
          <w:sz w:val="44"/>
          <w:szCs w:val="44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  <w14:textOutline w14:w="7988" w14:cap="flat" w14:cmpd="sng">
            <w14:solidFill>
              <w14:srgbClr w14:val="000000"/>
            </w14:solidFill>
            <w14:prstDash w14:val="solid"/>
            <w14:miter w14:val="0"/>
          </w14:textOutline>
        </w:rPr>
        <w:t>进养老机构"活动方案</w:t>
      </w:r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为认真贯彻落实池州市市场监督管理局、市委老干部局、市民政局和市退役军人事务局《关于印发安徽省保健食品科普宣传"进老年大学、进养老机构、进干休所"活动方案的通知》(池市监函〔2022]121号)以及县委县政府关于食品安全工作的一系列决策部署,进一步提高广大消费者,尤其是老年消费者的食品安全素养,正确引导老年消费者科学认知和理性消费保健食品,深化食品安全社会共治,结合我县实际, 特制定本方案。</w:t>
      </w:r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ind w:firstLine="684"/>
        <w:outlineLvl w:val="0"/>
        <w:rPr>
          <w:rFonts w:hint="eastAsia" w:ascii="黑体" w:hAnsi="黑体" w:eastAsia="黑体" w:cs="黑体"/>
          <w:b w:val="0"/>
          <w:bCs w:val="0"/>
          <w:spacing w:val="-5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黑体" w:hAnsi="黑体" w:eastAsia="黑体" w:cs="黑体"/>
          <w:b w:val="0"/>
          <w:bCs w:val="0"/>
          <w:spacing w:val="-5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0"/>
          </w14:textOutline>
        </w:rPr>
        <w:t>一、指导思想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坚持以习近平新时代中国特色社会主义思想为指导,深入学习贯彻习近平总书记关于食品安全工作的重要指示批示精神,全面落实《食品安全法》及其实施条例等法律法规要求,着力解决人民群众普遍关心的突出问题,通过科普宣传提高公众对保健食品的科学认知能力和自我防护能力,使广大消费者了解保健食品法规要求,尤其是帮助老年消费者掌握保健食品与普通食品、药品的区别,熟悉保健食品常见欺诈手段,正确引导老年消费者科学认知、理性消费保健食品,营造安全稳定的社会环境，迎接党的二十大胜利召开。</w:t>
      </w:r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ind w:firstLine="684"/>
        <w:outlineLvl w:val="0"/>
        <w:rPr>
          <w:rFonts w:hint="eastAsia" w:ascii="黑体" w:hAnsi="黑体" w:eastAsia="黑体" w:cs="黑体"/>
          <w:spacing w:val="-5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黑体" w:hAnsi="黑体" w:eastAsia="黑体" w:cs="黑体"/>
          <w:spacing w:val="-5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0"/>
          </w14:textOutline>
        </w:rPr>
        <w:t>二、工作目标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通过在老年大学、养老机构等老年消费群体较为集中的地方开展内容丰富、形式多样的保健食品科普宣传活动，积极引导广大老年消费者科学认知、合理选择保健食品,进一步增强广大老年消费者食品安全素养,自觉抵制保健食品欺诈和虚假宣传行为。</w:t>
      </w:r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ind w:firstLine="684"/>
        <w:outlineLvl w:val="0"/>
        <w:rPr>
          <w:rFonts w:hint="eastAsia" w:ascii="黑体" w:hAnsi="黑体" w:eastAsia="黑体" w:cs="黑体"/>
          <w:b w:val="0"/>
          <w:bCs w:val="0"/>
          <w:spacing w:val="-5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黑体" w:hAnsi="黑体" w:eastAsia="黑体" w:cs="黑体"/>
          <w:b w:val="0"/>
          <w:bCs w:val="0"/>
          <w:spacing w:val="-5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0"/>
          </w14:textOutline>
        </w:rPr>
        <w:t>三、宣传重点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59" w:firstLineChars="200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pacing w:val="4"/>
          <w:sz w:val="32"/>
          <w:szCs w:val="32"/>
          <w:lang w:val="en-US" w:eastAsia="zh-CN"/>
        </w:rPr>
        <w:t>(一)突出学习宣传习近平总书记关于食品安全工作重要论述。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党的十八大以来,以习近平同志为核心的党中央,始终把人民利益置于最高位,历次全会都对食品安全工作作出决策部署。习近平总书记就食品安全问题发表了一系列重要讲话,多次作出重要指示批示,与时俱进地提出了关于食品安全工作的战略思想,我们要深入领会其重大意义、丰富内涵、精神实质和实践要求,要把习近平总书记关于食品安全工作重要论述作为老年大学、养老机构组织学习的重点内容或重点课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79" w:firstLineChars="200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spacing w:val="4"/>
          <w:sz w:val="33"/>
          <w:szCs w:val="33"/>
        </w:rPr>
        <w:t>(</w:t>
      </w:r>
      <w:r>
        <w:rPr>
          <w:rFonts w:hint="eastAsia" w:ascii="楷体_GB2312" w:hAnsi="楷体_GB2312" w:eastAsia="楷体_GB2312" w:cs="楷体_GB2312"/>
          <w:b/>
          <w:bCs/>
          <w:spacing w:val="4"/>
          <w:sz w:val="32"/>
          <w:szCs w:val="32"/>
          <w:lang w:val="en-US" w:eastAsia="zh-CN"/>
        </w:rPr>
        <w:t>二)突出学习宣传保健食品安全的法律法规</w:t>
      </w:r>
      <w:r>
        <w:rPr>
          <w:rFonts w:hint="eastAsia" w:ascii="楷体" w:hAnsi="楷体" w:eastAsia="楷体" w:cs="楷体"/>
          <w:b/>
          <w:bCs/>
          <w:spacing w:val="4"/>
          <w:sz w:val="33"/>
          <w:szCs w:val="33"/>
        </w:rPr>
        <w:t>。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在老年大学、 养老机构要深入持久开展《食品安全法》《食品安全法实施条例》《安徽省食品安全条例》等法律法规以及《保健食品注册与备案管理办法》等部门规章的宣传教育活动,阐释好依法治国、依法行政的时代内涵和现实意义,结合2022年"食品安全宣传周",开展形式多样的保健食品安全法律法规的宣传活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59" w:firstLineChars="200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pacing w:val="4"/>
          <w:sz w:val="32"/>
          <w:szCs w:val="32"/>
          <w:lang w:val="en-US" w:eastAsia="zh-CN"/>
        </w:rPr>
        <w:t>(三)突出学习宣传保健食品安全科普知识。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采用食品安全大讲堂等方式,向老年大学、养老机构的广大老年消费者讲清楚保健食品是食品,不能代替药物治疗疾病,要科学认知不要迷信保健食品等。详细阐述保健食品欺诈的常见套路及虚假宣传主要手法,提升老年消费者对保健食品防骗、识骗的素养。</w:t>
      </w:r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ind w:right="95" w:firstLine="724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pacing w:val="4"/>
          <w:sz w:val="32"/>
          <w:szCs w:val="32"/>
          <w:lang w:val="en-US" w:eastAsia="zh-CN"/>
        </w:rPr>
        <w:t>(四)突出学习宣传保健食品选购食用常识</w:t>
      </w:r>
      <w:r>
        <w:rPr>
          <w:rFonts w:hint="eastAsia" w:ascii="楷体" w:hAnsi="楷体" w:eastAsia="楷体" w:cs="楷体"/>
          <w:b/>
          <w:bCs/>
          <w:spacing w:val="4"/>
          <w:sz w:val="33"/>
          <w:szCs w:val="33"/>
        </w:rPr>
        <w:t>。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通过印制"保健食品知识读本""保健食品选购提示"等让广大老年消费者了解,在选购保健食品要认清、认准产品包装上的保健食品标志"蓝帽子"及保健食品批准文号,应查看产品标签标注的功能、适宜人群和不适宜人群,依据自身需求科学选用以及选购 保健食品要到具有保健食品经营资质的单位购买,并索要发票或销售凭据。食用保健食品应严格按标签、说明书的规定的食用方法、食用量食用等。</w:t>
      </w:r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ind w:firstLine="684"/>
        <w:outlineLvl w:val="0"/>
        <w:rPr>
          <w:rFonts w:hint="eastAsia" w:ascii="黑体" w:hAnsi="黑体" w:eastAsia="黑体" w:cs="黑体"/>
          <w:spacing w:val="-5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黑体" w:hAnsi="黑体" w:eastAsia="黑体" w:cs="黑体"/>
          <w:spacing w:val="-5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0"/>
          </w14:textOutline>
        </w:rPr>
        <w:t>四、活动安排</w:t>
      </w:r>
      <w:bookmarkStart w:id="0" w:name="_GoBack"/>
      <w:bookmarkEnd w:id="0"/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ind w:right="130" w:firstLine="659" w:firstLineChars="200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pacing w:val="4"/>
          <w:sz w:val="32"/>
          <w:szCs w:val="32"/>
          <w:lang w:val="en-US" w:eastAsia="zh-CN"/>
        </w:rPr>
        <w:t>(一)部署启动阶段(2022年3月-4月)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县市场监督管理局、县委老干部服务中心和县民政局联合印发活动方案;明确宣传重点和活动安排，确保“两进”活动宣传有力、成效显著。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59" w:firstLineChars="200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pacing w:val="4"/>
          <w:sz w:val="32"/>
          <w:szCs w:val="32"/>
          <w:lang w:val="en-US" w:eastAsia="zh-CN"/>
        </w:rPr>
        <w:t>(二)深入推进阶段(2022年5月至10月)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县市场监管局要紧紧围绕“保健食品是食品,不能替代药物治疗疾病”的核心理念,组织制作宣传手册、海报、宣传标语、科普短视频等宣传资料,走进辖区内老年大学、养老机构,直接面向老年消费者集中开展宣教活动；在“两进”活动过程中走进老年大学开展宣传活动,各基层市场监管所要合理安排活动开展时间（附件2），力争做到辖区内养老机构全覆盖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各部门开展活动时紧扣四个环节：</w:t>
      </w:r>
      <w:r>
        <w:rPr>
          <w:rFonts w:hint="eastAsia" w:ascii="仿宋_GB2312" w:hAnsi="仿宋_GB2312" w:eastAsia="仿宋_GB2312" w:cs="仿宋_GB2312"/>
          <w:b/>
          <w:bCs/>
          <w:snapToGrid/>
          <w:color w:val="auto"/>
          <w:kern w:val="2"/>
          <w:sz w:val="32"/>
          <w:szCs w:val="32"/>
          <w:lang w:val="en-US" w:eastAsia="zh-CN" w:bidi="ar-SA"/>
        </w:rPr>
        <w:t>一是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播放科普视频，向老年人直观科普保健食品食用、防骗等基本常识；</w:t>
      </w:r>
      <w:r>
        <w:rPr>
          <w:rFonts w:hint="eastAsia" w:ascii="仿宋_GB2312" w:hAnsi="仿宋_GB2312" w:eastAsia="仿宋_GB2312" w:cs="仿宋_GB2312"/>
          <w:b/>
          <w:bCs/>
          <w:snapToGrid/>
          <w:color w:val="auto"/>
          <w:kern w:val="2"/>
          <w:sz w:val="32"/>
          <w:szCs w:val="32"/>
          <w:lang w:val="en-US" w:eastAsia="zh-CN" w:bidi="ar-SA"/>
        </w:rPr>
        <w:t>二是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开展专题讲座，宣传我国食品安全政策，讲解保健食品选购注意事项，增强老年人对保健食品的认知能力；</w:t>
      </w:r>
      <w:r>
        <w:rPr>
          <w:rFonts w:hint="eastAsia" w:ascii="仿宋_GB2312" w:hAnsi="仿宋_GB2312" w:eastAsia="仿宋_GB2312" w:cs="仿宋_GB2312"/>
          <w:b/>
          <w:bCs/>
          <w:snapToGrid/>
          <w:color w:val="auto"/>
          <w:kern w:val="2"/>
          <w:sz w:val="32"/>
          <w:szCs w:val="32"/>
          <w:lang w:val="en-US" w:eastAsia="zh-CN" w:bidi="ar-SA"/>
        </w:rPr>
        <w:t>三是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剖析典型案例，执法人员选取保健食品虚假宣传或欺诈典型案例进行剖析，向老年消费者讲清不法分子诈骗、诱骗基本手法，增强防骗意识；</w:t>
      </w:r>
      <w:r>
        <w:rPr>
          <w:rFonts w:hint="eastAsia" w:ascii="仿宋_GB2312" w:hAnsi="仿宋_GB2312" w:eastAsia="仿宋_GB2312" w:cs="仿宋_GB2312"/>
          <w:b/>
          <w:bCs/>
          <w:snapToGrid/>
          <w:color w:val="auto"/>
          <w:kern w:val="2"/>
          <w:sz w:val="32"/>
          <w:szCs w:val="32"/>
          <w:lang w:val="en-US" w:eastAsia="zh-CN" w:bidi="ar-SA"/>
        </w:rPr>
        <w:t>四是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发放宣传资料，向老年人介结保健食品基本常识、不法分子诱骗常用手段，帮助老年人能够正确选购、食用保健食品。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59" w:firstLineChars="200"/>
        <w:jc w:val="both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pacing w:val="4"/>
          <w:sz w:val="32"/>
          <w:szCs w:val="32"/>
          <w:lang w:val="en-US" w:eastAsia="zh-CN"/>
        </w:rPr>
        <w:t>(三)总结提升阶段(2022年11月至12月)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各有关部门要坚持集中宣传和日常教育相结合,及时总结宣传活动的好经验、好做法,将其运用到常态化的保健食品安全知识宣传教育中,并逐步形成长效常态机制。要结合开展保健食品“两进”科普宣传活动,完善社会监督机制,推进保健食品安全社会共治共享。各有关部门要在门户网站开设“两进”活动专栏,及时公布典型案例、宣传报道本地“两进”活动成果, 指导老年人识别假冒伪劣食品和保健食品。</w:t>
      </w:r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ind w:firstLine="684"/>
        <w:outlineLvl w:val="0"/>
        <w:rPr>
          <w:rFonts w:hint="eastAsia" w:ascii="黑体" w:hAnsi="黑体" w:eastAsia="黑体" w:cs="黑体"/>
          <w:spacing w:val="-5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黑体" w:hAnsi="黑体" w:eastAsia="黑体" w:cs="黑体"/>
          <w:spacing w:val="-5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0"/>
          </w14:textOutline>
        </w:rPr>
        <w:t>五、活动要求</w:t>
      </w:r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ind w:right="180" w:firstLine="704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pacing w:val="4"/>
          <w:sz w:val="32"/>
          <w:szCs w:val="32"/>
          <w:lang w:val="en-US" w:eastAsia="zh-CN"/>
        </w:rPr>
        <w:t>(一)切实提高认识。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各有关部门要充分认识开展保健食品“两进”科普宣传活动的重要意义,认真对照《方案》要求,精心策划组织,广泛宣传发动。县市场监管局要强化组织协调,会同老干部服务中心、民政局等部门统筹利用好宣传教育资源,安排好活动时段、节奏。“两进”活动工作开展情况纳入2022年度市政府食品安全评议考核。</w:t>
      </w:r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ind w:firstLine="704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pacing w:val="4"/>
          <w:sz w:val="32"/>
          <w:szCs w:val="32"/>
          <w:lang w:val="en-US" w:eastAsia="zh-CN"/>
        </w:rPr>
        <w:t xml:space="preserve">(二)强化活动效果。 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各有关部门要采用老年人喜闻乐见的宣传方式深入到老年大学、养老机构广泛开展保健食品科普宣传活动,宣传活动要贴近实际、贴近生活、贴近老年人,提高宣传的针对性、实效性和吸引力、感染力。同时，县市场监管局要加大保健食品执法力度,对案件线索深挖细查,一追到底;要畅通举报投诉热线(12315),及时认真查处消费者关于保健食品质量安全投诉举报;要依法严格审查保健食品广告内容,严厉打击虚假广告、夸大宣传等违法行为。</w:t>
      </w:r>
    </w:p>
    <w:p>
      <w:pPr>
        <w:pageBreakBefore w:val="0"/>
        <w:widowControl w:val="0"/>
        <w:wordWrap/>
        <w:overflowPunct/>
        <w:topLinePunct w:val="0"/>
        <w:bidi w:val="0"/>
        <w:spacing w:line="600" w:lineRule="exact"/>
        <w:ind w:firstLine="659" w:firstLineChars="200"/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pacing w:val="4"/>
          <w:sz w:val="32"/>
          <w:szCs w:val="32"/>
          <w:lang w:val="en-US" w:eastAsia="zh-CN"/>
        </w:rPr>
        <w:t>(三)及时报送信息。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lang w:val="en-US" w:eastAsia="zh-CN" w:bidi="ar-SA"/>
        </w:rPr>
        <w:t>各有关部门要注重“两进”活动期间典型案例等资料的收集整理工作,各市场监管所及时报送活动开展情况材料,每季度报送“两进”活动进展情况及统计表(附件3),同时于2022年11月15日报送“两进”活动和工作总结(包括活动开展情况、具体做法和成效、下一步工作打算、统计表等),并附图片、视频等素材。活动期间各部门制作的宣传手册、海报、宣传标语、科普视频等宣传资料请及时报送县市场监管局。</w:t>
      </w:r>
    </w:p>
    <w:p>
      <w:pPr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750" w:firstLineChars="200"/>
        <w:textAlignment w:val="baseline"/>
        <w:rPr>
          <w:rFonts w:hint="eastAsia" w:ascii="仿宋" w:hAnsi="仿宋" w:eastAsia="仿宋" w:cs="仿宋"/>
          <w:spacing w:val="18"/>
          <w:w w:val="106"/>
          <w:sz w:val="32"/>
          <w:szCs w:val="32"/>
          <w:lang w:val="en-US" w:eastAsia="zh-CN"/>
        </w:rPr>
      </w:pPr>
    </w:p>
    <w:p>
      <w:pPr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750" w:firstLineChars="200"/>
        <w:textAlignment w:val="baseline"/>
        <w:rPr>
          <w:rFonts w:hint="eastAsia" w:ascii="仿宋" w:hAnsi="仿宋" w:eastAsia="仿宋" w:cs="仿宋"/>
          <w:spacing w:val="18"/>
          <w:w w:val="106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18"/>
          <w:w w:val="106"/>
          <w:sz w:val="32"/>
          <w:szCs w:val="32"/>
          <w:lang w:val="en-US" w:eastAsia="zh-CN"/>
        </w:rPr>
        <w:t>县市场监管局联系人：程慧芳   QQ：1247849331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pacing w:val="0"/>
          <w:w w:val="1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w w:val="100"/>
          <w:sz w:val="32"/>
          <w:szCs w:val="32"/>
          <w:lang w:val="en-US" w:eastAsia="zh-CN"/>
        </w:rPr>
        <w:t>附件：1.各部门联系人</w:t>
      </w:r>
    </w:p>
    <w:p>
      <w:pPr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1600" w:firstLineChars="500"/>
        <w:textAlignment w:val="baseline"/>
        <w:rPr>
          <w:rFonts w:hint="eastAsia" w:ascii="仿宋_GB2312" w:hAnsi="仿宋_GB2312" w:eastAsia="仿宋_GB2312" w:cs="仿宋_GB2312"/>
          <w:spacing w:val="0"/>
          <w:w w:val="1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w w:val="100"/>
          <w:sz w:val="32"/>
          <w:szCs w:val="32"/>
          <w:lang w:val="en-US" w:eastAsia="zh-CN"/>
        </w:rPr>
        <w:t>2.各市场监管所“两进”活动时间安排表</w:t>
      </w:r>
    </w:p>
    <w:p>
      <w:pPr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1600" w:firstLineChars="500"/>
        <w:textAlignment w:val="baseline"/>
        <w:rPr>
          <w:rFonts w:hint="eastAsia" w:ascii="仿宋_GB2312" w:hAnsi="仿宋_GB2312" w:eastAsia="仿宋_GB2312" w:cs="仿宋_GB2312"/>
          <w:spacing w:val="-1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w w:val="100"/>
          <w:sz w:val="32"/>
          <w:szCs w:val="32"/>
          <w:lang w:val="en-US" w:eastAsia="zh-CN"/>
        </w:rPr>
        <w:t>3.石台县保健食品科普宣传“进老年大学、进养老机构”专项工作统计表</w:t>
      </w:r>
    </w:p>
    <w:p>
      <w:pPr>
        <w:rPr>
          <w:rFonts w:hint="eastAsia"/>
          <w:lang w:val="en-US" w:eastAsia="zh-CN"/>
        </w:rPr>
      </w:pPr>
    </w:p>
    <w:p>
      <w:pPr>
        <w:spacing w:before="210" w:line="219" w:lineRule="auto"/>
        <w:rPr>
          <w:rFonts w:hint="eastAsia" w:ascii="仿宋_GB2312" w:hAnsi="仿宋_GB2312" w:eastAsia="仿宋_GB2312" w:cs="仿宋_GB2312"/>
          <w:spacing w:val="-1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0"/>
          <w:sz w:val="32"/>
          <w:szCs w:val="32"/>
          <w:lang w:val="en-US" w:eastAsia="zh-CN"/>
        </w:rPr>
        <w:t>附件1</w:t>
      </w:r>
    </w:p>
    <w:p>
      <w:pPr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880" w:firstLineChars="200"/>
        <w:jc w:val="center"/>
        <w:textAlignment w:val="baseline"/>
        <w:rPr>
          <w:rFonts w:hint="eastAsia" w:ascii="方正小标宋简体" w:hAnsi="方正小标宋简体" w:eastAsia="方正小标宋简体" w:cs="方正小标宋简体"/>
          <w:spacing w:val="0"/>
          <w:w w:val="100"/>
          <w:sz w:val="44"/>
          <w:szCs w:val="44"/>
          <w:lang w:val="en-US" w:eastAsia="zh-CN"/>
        </w:rPr>
      </w:pPr>
    </w:p>
    <w:p>
      <w:pPr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880" w:firstLineChars="200"/>
        <w:jc w:val="center"/>
        <w:textAlignment w:val="baseline"/>
        <w:rPr>
          <w:rFonts w:hint="eastAsia" w:ascii="方正小标宋简体" w:hAnsi="方正小标宋简体" w:eastAsia="方正小标宋简体" w:cs="方正小标宋简体"/>
          <w:spacing w:val="0"/>
          <w:w w:val="1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w w:val="100"/>
          <w:sz w:val="44"/>
          <w:szCs w:val="44"/>
          <w:lang w:val="en-US" w:eastAsia="zh-CN"/>
        </w:rPr>
        <w:t>各部门联系人</w:t>
      </w:r>
    </w:p>
    <w:tbl>
      <w:tblPr>
        <w:tblStyle w:val="5"/>
        <w:tblpPr w:leftFromText="180" w:rightFromText="180" w:vertAnchor="text" w:horzAnchor="page" w:tblpXSpec="center" w:tblpY="383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5"/>
        <w:gridCol w:w="3600"/>
        <w:gridCol w:w="1740"/>
        <w:gridCol w:w="23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  <w:jc w:val="center"/>
        </w:trPr>
        <w:tc>
          <w:tcPr>
            <w:tcW w:w="1075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3600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1740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联系人</w:t>
            </w:r>
          </w:p>
        </w:tc>
        <w:tc>
          <w:tcPr>
            <w:tcW w:w="2355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  <w:jc w:val="center"/>
        </w:trPr>
        <w:tc>
          <w:tcPr>
            <w:tcW w:w="1075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600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县市场监管局</w:t>
            </w:r>
          </w:p>
        </w:tc>
        <w:tc>
          <w:tcPr>
            <w:tcW w:w="1740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程慧芳</w:t>
            </w:r>
          </w:p>
        </w:tc>
        <w:tc>
          <w:tcPr>
            <w:tcW w:w="2355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6026459</w:t>
            </w:r>
          </w:p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18856685052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  <w:jc w:val="center"/>
        </w:trPr>
        <w:tc>
          <w:tcPr>
            <w:tcW w:w="1075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600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县委老干部服务中心</w:t>
            </w:r>
          </w:p>
        </w:tc>
        <w:tc>
          <w:tcPr>
            <w:tcW w:w="1740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吴丁旺</w:t>
            </w:r>
          </w:p>
        </w:tc>
        <w:tc>
          <w:tcPr>
            <w:tcW w:w="2355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15339663283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  <w:jc w:val="center"/>
        </w:trPr>
        <w:tc>
          <w:tcPr>
            <w:tcW w:w="1075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600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县民政局</w:t>
            </w:r>
          </w:p>
        </w:tc>
        <w:tc>
          <w:tcPr>
            <w:tcW w:w="1740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胡丽娟</w:t>
            </w:r>
          </w:p>
        </w:tc>
        <w:tc>
          <w:tcPr>
            <w:tcW w:w="2355" w:type="dxa"/>
            <w:vAlign w:val="center"/>
          </w:tcPr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6020270</w:t>
            </w:r>
          </w:p>
          <w:p>
            <w:pPr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17730490950</w:t>
            </w:r>
          </w:p>
        </w:tc>
      </w:tr>
    </w:tbl>
    <w:p>
      <w:pPr>
        <w:spacing w:before="210" w:line="219" w:lineRule="auto"/>
        <w:ind w:firstLine="395"/>
        <w:rPr>
          <w:rFonts w:ascii="宋体" w:hAnsi="宋体" w:eastAsia="宋体" w:cs="宋体"/>
          <w:spacing w:val="-10"/>
          <w:sz w:val="33"/>
          <w:szCs w:val="33"/>
        </w:rPr>
      </w:pPr>
    </w:p>
    <w:p>
      <w:pPr>
        <w:pStyle w:val="2"/>
        <w:rPr>
          <w:rFonts w:ascii="宋体" w:hAnsi="宋体" w:eastAsia="宋体" w:cs="宋体"/>
          <w:spacing w:val="-10"/>
          <w:sz w:val="33"/>
          <w:szCs w:val="33"/>
        </w:rPr>
      </w:pPr>
    </w:p>
    <w:p>
      <w:pPr>
        <w:rPr>
          <w:rFonts w:ascii="宋体" w:hAnsi="宋体" w:eastAsia="宋体" w:cs="宋体"/>
          <w:spacing w:val="-10"/>
          <w:sz w:val="33"/>
          <w:szCs w:val="33"/>
        </w:rPr>
      </w:pPr>
    </w:p>
    <w:p>
      <w:pPr>
        <w:pStyle w:val="2"/>
        <w:rPr>
          <w:rFonts w:ascii="宋体" w:hAnsi="宋体" w:eastAsia="宋体" w:cs="宋体"/>
          <w:spacing w:val="-10"/>
          <w:sz w:val="33"/>
          <w:szCs w:val="33"/>
        </w:rPr>
      </w:pPr>
    </w:p>
    <w:p/>
    <w:p>
      <w:pPr>
        <w:spacing w:before="210" w:line="219" w:lineRule="auto"/>
        <w:rPr>
          <w:rFonts w:hint="eastAsia" w:ascii="宋体" w:hAnsi="宋体" w:eastAsia="宋体" w:cs="宋体"/>
          <w:spacing w:val="-10"/>
          <w:sz w:val="33"/>
          <w:szCs w:val="33"/>
          <w:lang w:val="en-US" w:eastAsia="zh-CN"/>
        </w:rPr>
      </w:pPr>
    </w:p>
    <w:p>
      <w:pPr>
        <w:spacing w:before="210" w:line="219" w:lineRule="auto"/>
        <w:rPr>
          <w:rFonts w:hint="eastAsia" w:ascii="宋体" w:hAnsi="宋体" w:eastAsia="宋体" w:cs="宋体"/>
          <w:spacing w:val="-10"/>
          <w:sz w:val="33"/>
          <w:szCs w:val="33"/>
          <w:lang w:val="en-US" w:eastAsia="zh-CN"/>
        </w:rPr>
      </w:pPr>
    </w:p>
    <w:p>
      <w:pPr>
        <w:spacing w:before="210" w:line="219" w:lineRule="auto"/>
        <w:rPr>
          <w:rFonts w:hint="eastAsia" w:ascii="宋体" w:hAnsi="宋体" w:eastAsia="宋体" w:cs="宋体"/>
          <w:spacing w:val="-10"/>
          <w:sz w:val="33"/>
          <w:szCs w:val="33"/>
          <w:lang w:val="en-US" w:eastAsia="zh-CN"/>
        </w:rPr>
      </w:pPr>
    </w:p>
    <w:p>
      <w:pPr>
        <w:spacing w:before="210" w:line="219" w:lineRule="auto"/>
        <w:rPr>
          <w:rFonts w:hint="eastAsia" w:ascii="宋体" w:hAnsi="宋体" w:eastAsia="宋体" w:cs="宋体"/>
          <w:spacing w:val="-10"/>
          <w:sz w:val="33"/>
          <w:szCs w:val="33"/>
          <w:lang w:val="en-US" w:eastAsia="zh-CN"/>
        </w:rPr>
      </w:pPr>
    </w:p>
    <w:p>
      <w:pPr>
        <w:spacing w:before="210" w:line="219" w:lineRule="auto"/>
        <w:rPr>
          <w:rFonts w:hint="eastAsia" w:ascii="宋体" w:hAnsi="宋体" w:eastAsia="宋体" w:cs="宋体"/>
          <w:spacing w:val="-10"/>
          <w:sz w:val="33"/>
          <w:szCs w:val="33"/>
          <w:lang w:val="en-US" w:eastAsia="zh-CN"/>
        </w:rPr>
      </w:pPr>
    </w:p>
    <w:p>
      <w:pPr>
        <w:spacing w:before="210" w:line="219" w:lineRule="auto"/>
        <w:rPr>
          <w:rFonts w:hint="eastAsia" w:ascii="宋体" w:hAnsi="宋体" w:eastAsia="宋体" w:cs="宋体"/>
          <w:spacing w:val="-10"/>
          <w:sz w:val="33"/>
          <w:szCs w:val="33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spacing w:before="210" w:line="219" w:lineRule="auto"/>
        <w:rPr>
          <w:rFonts w:hint="eastAsia" w:ascii="仿宋_GB2312" w:hAnsi="仿宋_GB2312" w:eastAsia="仿宋_GB2312" w:cs="仿宋_GB2312"/>
          <w:spacing w:val="-10"/>
          <w:sz w:val="33"/>
          <w:szCs w:val="33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0"/>
          <w:sz w:val="33"/>
          <w:szCs w:val="33"/>
          <w:lang w:val="en-US" w:eastAsia="zh-CN"/>
        </w:rPr>
        <w:t>附件2</w:t>
      </w:r>
    </w:p>
    <w:p>
      <w:pPr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720" w:firstLineChars="200"/>
        <w:jc w:val="center"/>
        <w:textAlignment w:val="baseline"/>
        <w:rPr>
          <w:rFonts w:hint="eastAsia" w:ascii="方正小标宋简体" w:hAnsi="方正小标宋简体" w:eastAsia="方正小标宋简体" w:cs="方正小标宋简体"/>
          <w:spacing w:val="0"/>
          <w:w w:val="100"/>
          <w:sz w:val="36"/>
          <w:szCs w:val="36"/>
          <w:lang w:val="en-US" w:eastAsia="zh-CN"/>
        </w:rPr>
      </w:pPr>
    </w:p>
    <w:p>
      <w:pPr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720" w:firstLineChars="200"/>
        <w:jc w:val="center"/>
        <w:textAlignment w:val="baseline"/>
        <w:rPr>
          <w:rFonts w:hint="default" w:ascii="方正小标宋简体" w:hAnsi="方正小标宋简体" w:eastAsia="方正小标宋简体" w:cs="方正小标宋简体"/>
          <w:spacing w:val="0"/>
          <w:w w:val="10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w w:val="100"/>
          <w:sz w:val="36"/>
          <w:szCs w:val="36"/>
          <w:lang w:val="en-US" w:eastAsia="zh-CN"/>
        </w:rPr>
        <w:t>各市场监管所“两进”活动时间安排表</w:t>
      </w:r>
    </w:p>
    <w:tbl>
      <w:tblPr>
        <w:tblStyle w:val="4"/>
        <w:tblpPr w:leftFromText="180" w:rightFromText="180" w:vertAnchor="text" w:horzAnchor="page" w:tblpX="2022" w:tblpY="301"/>
        <w:tblOverlap w:val="never"/>
        <w:tblW w:w="824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3295"/>
        <w:gridCol w:w="2250"/>
        <w:gridCol w:w="16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3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基层所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时间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仙寓所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5月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七都所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6月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横渡所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7月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3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大演所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8月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3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丁香所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9月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3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小河所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10月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3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仁里所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5-10月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</w:tbl>
    <w:p>
      <w:pPr>
        <w:spacing w:before="210" w:line="219" w:lineRule="auto"/>
        <w:ind w:firstLine="395"/>
        <w:rPr>
          <w:rFonts w:ascii="宋体" w:hAnsi="宋体" w:eastAsia="宋体" w:cs="宋体"/>
          <w:spacing w:val="-10"/>
          <w:sz w:val="33"/>
          <w:szCs w:val="33"/>
        </w:rPr>
      </w:pPr>
    </w:p>
    <w:p>
      <w:pPr>
        <w:spacing w:before="210" w:line="219" w:lineRule="auto"/>
        <w:ind w:firstLine="395"/>
        <w:rPr>
          <w:rFonts w:ascii="宋体" w:hAnsi="宋体" w:eastAsia="宋体" w:cs="宋体"/>
          <w:spacing w:val="-10"/>
          <w:sz w:val="33"/>
          <w:szCs w:val="33"/>
        </w:rPr>
      </w:pPr>
    </w:p>
    <w:p>
      <w:pPr>
        <w:spacing w:before="210" w:line="219" w:lineRule="auto"/>
        <w:ind w:firstLine="395"/>
        <w:rPr>
          <w:rFonts w:ascii="宋体" w:hAnsi="宋体" w:eastAsia="宋体" w:cs="宋体"/>
          <w:spacing w:val="-10"/>
          <w:sz w:val="33"/>
          <w:szCs w:val="33"/>
        </w:rPr>
      </w:pPr>
    </w:p>
    <w:p>
      <w:pPr>
        <w:spacing w:before="210" w:line="219" w:lineRule="auto"/>
        <w:ind w:firstLine="395"/>
        <w:rPr>
          <w:rFonts w:ascii="宋体" w:hAnsi="宋体" w:eastAsia="宋体" w:cs="宋体"/>
          <w:spacing w:val="-10"/>
          <w:sz w:val="33"/>
          <w:szCs w:val="33"/>
        </w:rPr>
      </w:pPr>
    </w:p>
    <w:p>
      <w:pPr>
        <w:spacing w:before="210" w:line="219" w:lineRule="auto"/>
        <w:ind w:firstLine="395"/>
        <w:rPr>
          <w:rFonts w:ascii="宋体" w:hAnsi="宋体" w:eastAsia="宋体" w:cs="宋体"/>
          <w:spacing w:val="-10"/>
          <w:sz w:val="33"/>
          <w:szCs w:val="33"/>
        </w:rPr>
      </w:pPr>
    </w:p>
    <w:p>
      <w:pPr>
        <w:spacing w:before="210" w:line="219" w:lineRule="auto"/>
        <w:ind w:firstLine="395"/>
        <w:rPr>
          <w:rFonts w:ascii="宋体" w:hAnsi="宋体" w:eastAsia="宋体" w:cs="宋体"/>
          <w:spacing w:val="-10"/>
          <w:sz w:val="33"/>
          <w:szCs w:val="33"/>
        </w:rPr>
      </w:pPr>
    </w:p>
    <w:p>
      <w:pPr>
        <w:spacing w:before="210" w:line="219" w:lineRule="auto"/>
        <w:ind w:firstLine="395"/>
        <w:rPr>
          <w:rFonts w:ascii="宋体" w:hAnsi="宋体" w:eastAsia="宋体" w:cs="宋体"/>
          <w:spacing w:val="-10"/>
          <w:sz w:val="33"/>
          <w:szCs w:val="33"/>
        </w:rPr>
      </w:pPr>
    </w:p>
    <w:p>
      <w:pPr>
        <w:spacing w:before="210" w:line="219" w:lineRule="auto"/>
        <w:rPr>
          <w:rFonts w:hint="eastAsia" w:ascii="仿宋_GB2312" w:hAnsi="仿宋_GB2312" w:eastAsia="仿宋_GB2312" w:cs="仿宋_GB2312"/>
          <w:spacing w:val="-10"/>
          <w:sz w:val="32"/>
          <w:szCs w:val="32"/>
        </w:rPr>
      </w:pPr>
    </w:p>
    <w:p>
      <w:pPr>
        <w:spacing w:before="210" w:line="219" w:lineRule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0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pacing w:val="-10"/>
          <w:sz w:val="32"/>
          <w:szCs w:val="32"/>
          <w:lang w:val="en-US" w:eastAsia="zh-CN"/>
        </w:rPr>
        <w:t>3</w:t>
      </w:r>
    </w:p>
    <w:p>
      <w:pPr>
        <w:spacing w:before="120" w:line="301" w:lineRule="auto"/>
        <w:ind w:left="2519" w:hanging="2119"/>
        <w:rPr>
          <w:rFonts w:hint="eastAsia" w:ascii="方正小标宋简体" w:hAnsi="方正小标宋简体" w:eastAsia="方正小标宋简体" w:cs="方正小标宋简体"/>
          <w:spacing w:val="3"/>
          <w:sz w:val="36"/>
          <w:szCs w:val="36"/>
          <w14:textOutline w14:w="6718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方正小标宋简体" w:hAnsi="方正小标宋简体" w:eastAsia="方正小标宋简体" w:cs="方正小标宋简体"/>
          <w:spacing w:val="-5"/>
          <w:sz w:val="36"/>
          <w:szCs w:val="36"/>
          <w:lang w:val="en-US" w:eastAsia="zh-CN"/>
          <w14:textOutline w14:w="6718" w14:cap="flat" w14:cmpd="sng">
            <w14:solidFill>
              <w14:srgbClr w14:val="000000"/>
            </w14:solidFill>
            <w14:prstDash w14:val="solid"/>
            <w14:miter w14:val="0"/>
          </w14:textOutline>
        </w:rPr>
        <w:t>石台县</w:t>
      </w:r>
      <w:r>
        <w:rPr>
          <w:rFonts w:hint="eastAsia" w:ascii="方正小标宋简体" w:hAnsi="方正小标宋简体" w:eastAsia="方正小标宋简体" w:cs="方正小标宋简体"/>
          <w:spacing w:val="-5"/>
          <w:sz w:val="36"/>
          <w:szCs w:val="36"/>
          <w14:textOutline w14:w="6718" w14:cap="flat" w14:cmpd="sng">
            <w14:solidFill>
              <w14:srgbClr w14:val="000000"/>
            </w14:solidFill>
            <w14:prstDash w14:val="solid"/>
            <w14:miter w14:val="0"/>
          </w14:textOutline>
        </w:rPr>
        <w:t>保健食品科普宣传"进老年大学、进养老机构</w:t>
      </w:r>
      <w:r>
        <w:rPr>
          <w:rFonts w:hint="eastAsia" w:ascii="方正小标宋简体" w:hAnsi="方正小标宋简体" w:eastAsia="方正小标宋简体" w:cs="方正小标宋简体"/>
          <w:spacing w:val="3"/>
          <w:sz w:val="36"/>
          <w:szCs w:val="36"/>
          <w14:textOutline w14:w="6718" w14:cap="flat" w14:cmpd="sng">
            <w14:solidFill>
              <w14:srgbClr w14:val="000000"/>
            </w14:solidFill>
            <w14:prstDash w14:val="solid"/>
            <w14:miter w14:val="0"/>
          </w14:textOutline>
        </w:rPr>
        <w:t>"</w:t>
      </w:r>
    </w:p>
    <w:p>
      <w:pPr>
        <w:spacing w:before="120" w:line="301" w:lineRule="auto"/>
        <w:ind w:left="2519" w:hanging="2119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pacing w:val="3"/>
          <w:sz w:val="36"/>
          <w:szCs w:val="36"/>
          <w14:textOutline w14:w="6718" w14:cap="flat" w14:cmpd="sng">
            <w14:solidFill>
              <w14:srgbClr w14:val="000000"/>
            </w14:solidFill>
            <w14:prstDash w14:val="solid"/>
            <w14:miter w14:val="0"/>
          </w14:textOutline>
        </w:rPr>
        <w:t>专项工作统计表</w:t>
      </w:r>
    </w:p>
    <w:p>
      <w:pPr>
        <w:spacing w:before="143" w:line="221" w:lineRule="auto"/>
        <w:rPr>
          <w:rFonts w:hint="eastAsia" w:ascii="仿宋_GB2312" w:hAnsi="仿宋_GB2312" w:eastAsia="仿宋_GB2312" w:cs="仿宋_GB2312"/>
          <w:sz w:val="37"/>
          <w:szCs w:val="37"/>
        </w:rPr>
      </w:pPr>
      <w:r>
        <w:rPr>
          <w:rFonts w:hint="eastAsia" w:ascii="仿宋_GB2312" w:hAnsi="仿宋_GB2312" w:eastAsia="仿宋_GB2312" w:cs="仿宋_GB2312"/>
          <w:spacing w:val="-16"/>
          <w:w w:val="89"/>
          <w:sz w:val="37"/>
          <w:szCs w:val="37"/>
        </w:rPr>
        <w:t>填报单位:</w:t>
      </w:r>
      <w:r>
        <w:rPr>
          <w:rFonts w:hint="eastAsia" w:ascii="仿宋_GB2312" w:hAnsi="仿宋_GB2312" w:eastAsia="仿宋_GB2312" w:cs="仿宋_GB2312"/>
          <w:spacing w:val="36"/>
          <w:sz w:val="37"/>
          <w:szCs w:val="37"/>
        </w:rPr>
        <w:t xml:space="preserve"> </w:t>
      </w:r>
      <w:r>
        <w:rPr>
          <w:rFonts w:hint="eastAsia" w:ascii="仿宋_GB2312" w:hAnsi="仿宋_GB2312" w:eastAsia="仿宋_GB2312" w:cs="仿宋_GB2312"/>
          <w:spacing w:val="36"/>
          <w:sz w:val="37"/>
          <w:szCs w:val="37"/>
          <w:lang w:val="en-US" w:eastAsia="zh-CN"/>
        </w:rPr>
        <w:t xml:space="preserve">                  </w:t>
      </w:r>
      <w:r>
        <w:rPr>
          <w:rFonts w:hint="eastAsia" w:ascii="仿宋_GB2312" w:hAnsi="仿宋_GB2312" w:eastAsia="仿宋_GB2312" w:cs="仿宋_GB2312"/>
          <w:spacing w:val="36"/>
          <w:sz w:val="37"/>
          <w:szCs w:val="37"/>
        </w:rPr>
        <w:t xml:space="preserve"> </w:t>
      </w:r>
      <w:r>
        <w:rPr>
          <w:rFonts w:hint="eastAsia" w:ascii="仿宋_GB2312" w:hAnsi="仿宋_GB2312" w:eastAsia="仿宋_GB2312" w:cs="仿宋_GB2312"/>
          <w:spacing w:val="-16"/>
          <w:w w:val="89"/>
          <w:sz w:val="37"/>
          <w:szCs w:val="37"/>
        </w:rPr>
        <w:t>填报日期:</w:t>
      </w:r>
    </w:p>
    <w:p>
      <w:pPr>
        <w:spacing w:line="73" w:lineRule="exact"/>
        <w:rPr>
          <w:rFonts w:hint="eastAsia" w:ascii="仿宋_GB2312" w:hAnsi="仿宋_GB2312" w:eastAsia="仿宋_GB2312" w:cs="仿宋_GB2312"/>
        </w:rPr>
      </w:pPr>
    </w:p>
    <w:tbl>
      <w:tblPr>
        <w:tblStyle w:val="17"/>
        <w:tblW w:w="88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4"/>
        <w:gridCol w:w="2447"/>
        <w:gridCol w:w="2876"/>
        <w:gridCol w:w="25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339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84" w:line="220" w:lineRule="auto"/>
              <w:ind w:firstLine="127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-9"/>
                <w:sz w:val="32"/>
                <w:szCs w:val="32"/>
              </w:rPr>
              <w:t>项</w:t>
            </w:r>
            <w:r>
              <w:rPr>
                <w:rFonts w:hint="eastAsia" w:ascii="仿宋_GB2312" w:hAnsi="仿宋_GB2312" w:eastAsia="仿宋_GB2312" w:cs="仿宋_GB2312"/>
                <w:spacing w:val="-8"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9"/>
                <w:sz w:val="32"/>
                <w:szCs w:val="32"/>
              </w:rPr>
              <w:t>目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83" w:line="219" w:lineRule="auto"/>
              <w:ind w:firstLine="1114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32"/>
                <w:szCs w:val="32"/>
              </w:rPr>
              <w:t>数量</w:t>
            </w: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84" w:line="220" w:lineRule="auto"/>
              <w:ind w:firstLine="958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32"/>
                <w:szCs w:val="32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944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line="331" w:lineRule="auto"/>
              <w:rPr>
                <w:rFonts w:hint="eastAsia" w:ascii="仿宋_GB2312" w:hAnsi="仿宋_GB2312" w:eastAsia="仿宋_GB2312" w:cs="仿宋_GB2312"/>
                <w:sz w:val="21"/>
              </w:rPr>
            </w:pPr>
          </w:p>
          <w:p>
            <w:pPr>
              <w:spacing w:before="104" w:line="225" w:lineRule="auto"/>
              <w:ind w:firstLine="14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32"/>
                <w:szCs w:val="32"/>
                <w:lang w:val="en-US" w:eastAsia="zh-CN"/>
              </w:rPr>
              <w:t>两</w:t>
            </w:r>
            <w:r>
              <w:rPr>
                <w:rFonts w:hint="eastAsia" w:ascii="仿宋_GB2312" w:hAnsi="仿宋_GB2312" w:eastAsia="仿宋_GB2312" w:cs="仿宋_GB2312"/>
                <w:spacing w:val="6"/>
                <w:sz w:val="32"/>
                <w:szCs w:val="32"/>
              </w:rPr>
              <w:t>进</w:t>
            </w:r>
          </w:p>
        </w:tc>
        <w:tc>
          <w:tcPr>
            <w:tcW w:w="244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9" w:line="219" w:lineRule="auto"/>
              <w:ind w:firstLine="91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32"/>
                <w:szCs w:val="32"/>
              </w:rPr>
              <w:t>进老年大学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944" w:type="dxa"/>
            <w:vMerge w:val="continue"/>
            <w:tcBorders>
              <w:top w:val="nil"/>
              <w:bottom w:val="single" w:color="auto" w:sz="4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44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7" w:line="219" w:lineRule="auto"/>
              <w:ind w:firstLine="91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  <w:t>进养老机构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339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7" w:line="219" w:lineRule="auto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  <w:t>印发宣传资料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9" w:line="219" w:lineRule="auto"/>
              <w:ind w:firstLine="1118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339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7" w:line="219" w:lineRule="auto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</w:rPr>
              <w:t>张贴宣传海报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2" w:line="215" w:lineRule="auto"/>
              <w:ind w:firstLine="1118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39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7" w:line="219" w:lineRule="auto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</w:rPr>
              <w:t>摆放宣传展板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60" w:line="220" w:lineRule="auto"/>
              <w:ind w:firstLine="1118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339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0" w:line="219" w:lineRule="auto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32"/>
                <w:szCs w:val="32"/>
              </w:rPr>
              <w:t>开展专题讲座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0" w:line="216" w:lineRule="auto"/>
              <w:ind w:firstLine="1118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339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8" w:line="219" w:lineRule="auto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  <w:t>制作视频材料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0" w:line="216" w:lineRule="auto"/>
              <w:ind w:firstLine="1118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4" w:hRule="atLeast"/>
        </w:trPr>
        <w:tc>
          <w:tcPr>
            <w:tcW w:w="339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09" w:line="609" w:lineRule="exact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position w:val="21"/>
                <w:sz w:val="32"/>
                <w:szCs w:val="32"/>
              </w:rPr>
              <w:t>报纸、电视、广播</w:t>
            </w:r>
          </w:p>
          <w:p>
            <w:pPr>
              <w:spacing w:before="1" w:line="218" w:lineRule="auto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</w:rPr>
              <w:t>等传统媒体发布信息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54" w:lineRule="auto"/>
              <w:rPr>
                <w:rFonts w:hint="eastAsia" w:ascii="仿宋_GB2312" w:hAnsi="仿宋_GB2312" w:eastAsia="仿宋_GB2312" w:cs="仿宋_GB2312"/>
                <w:sz w:val="21"/>
              </w:rPr>
            </w:pPr>
          </w:p>
          <w:p>
            <w:pPr>
              <w:spacing w:before="104" w:line="219" w:lineRule="auto"/>
              <w:ind w:firstLine="1118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339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9" w:line="219" w:lineRule="auto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32"/>
                <w:szCs w:val="32"/>
              </w:rPr>
              <w:t>网站发布信息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1" w:line="219" w:lineRule="auto"/>
              <w:ind w:firstLine="1118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39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60" w:line="219" w:lineRule="auto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</w:rPr>
              <w:t>微信公众号发布信息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62" w:line="219" w:lineRule="auto"/>
              <w:ind w:firstLine="1118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339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10" w:line="219" w:lineRule="auto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32"/>
                <w:szCs w:val="32"/>
              </w:rPr>
              <w:t>其他媒体</w:t>
            </w:r>
          </w:p>
          <w:p>
            <w:pPr>
              <w:spacing w:before="212" w:line="219" w:lineRule="auto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(户外、公交、LED等)</w:t>
            </w:r>
          </w:p>
        </w:tc>
        <w:tc>
          <w:tcPr>
            <w:tcW w:w="28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22" w:line="219" w:lineRule="auto"/>
              <w:ind w:firstLine="1118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339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01" w:line="219" w:lineRule="auto"/>
              <w:ind w:firstLine="9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宣传活动参加人次</w:t>
            </w:r>
          </w:p>
        </w:tc>
        <w:tc>
          <w:tcPr>
            <w:tcW w:w="5438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1"/>
              </w:rPr>
            </w:pPr>
          </w:p>
        </w:tc>
      </w:tr>
    </w:tbl>
    <w:p>
      <w:pPr>
        <w:spacing w:before="143" w:line="221" w:lineRule="auto"/>
        <w:rPr>
          <w:rFonts w:hint="eastAsia" w:ascii="仿宋_GB2312" w:hAnsi="仿宋_GB2312" w:eastAsia="仿宋_GB2312" w:cs="仿宋_GB2312"/>
          <w:spacing w:val="-16"/>
          <w:w w:val="89"/>
          <w:sz w:val="37"/>
          <w:szCs w:val="37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6"/>
          <w:w w:val="89"/>
          <w:sz w:val="37"/>
          <w:szCs w:val="37"/>
          <w:lang w:val="en-US" w:eastAsia="zh-CN"/>
        </w:rPr>
        <w:t>负责人：            填报人：            联系方式：</w:t>
      </w:r>
    </w:p>
    <w:sectPr>
      <w:footerReference r:id="rId5" w:type="default"/>
      <w:pgSz w:w="12050" w:h="16950"/>
      <w:pgMar w:top="1928" w:right="1417" w:bottom="1587" w:left="1644" w:header="0" w:footer="108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77" w:lineRule="exact"/>
      <w:ind w:firstLine="4435"/>
      <w:rPr>
        <w:rFonts w:ascii="宋体" w:hAnsi="宋体" w:eastAsia="宋体" w:cs="宋体"/>
        <w:sz w:val="11"/>
        <w:szCs w:val="11"/>
      </w:rPr>
    </w:pPr>
    <w:r>
      <w:rPr>
        <w:rFonts w:ascii="宋体" w:hAnsi="宋体" w:eastAsia="宋体" w:cs="宋体"/>
        <w:position w:val="-2"/>
        <w:sz w:val="11"/>
        <w:szCs w:val="11"/>
      </w:rPr>
      <w:t>─9─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MDQ2ZTllMTJkY2RlZDkzMDA4NzQwYTg0YTE4NDVlN2EifQ=="/>
  </w:docVars>
  <w:rsids>
    <w:rsidRoot w:val="00000000"/>
    <w:rsid w:val="01EB739B"/>
    <w:rsid w:val="02E54DA8"/>
    <w:rsid w:val="035F7285"/>
    <w:rsid w:val="03EE3EEF"/>
    <w:rsid w:val="0D3A1904"/>
    <w:rsid w:val="0D5C3EB5"/>
    <w:rsid w:val="10B1077E"/>
    <w:rsid w:val="188260C7"/>
    <w:rsid w:val="19A60971"/>
    <w:rsid w:val="1AC83294"/>
    <w:rsid w:val="1BF85D97"/>
    <w:rsid w:val="1FCE2AC1"/>
    <w:rsid w:val="20A5742A"/>
    <w:rsid w:val="21445A0C"/>
    <w:rsid w:val="21613AFB"/>
    <w:rsid w:val="257A162F"/>
    <w:rsid w:val="276B60E1"/>
    <w:rsid w:val="28DF17A9"/>
    <w:rsid w:val="2CA31A22"/>
    <w:rsid w:val="303B7EAF"/>
    <w:rsid w:val="35132F06"/>
    <w:rsid w:val="35D95590"/>
    <w:rsid w:val="365E7F82"/>
    <w:rsid w:val="38B8411D"/>
    <w:rsid w:val="39316B13"/>
    <w:rsid w:val="448B6566"/>
    <w:rsid w:val="452B1BA6"/>
    <w:rsid w:val="46BF60FF"/>
    <w:rsid w:val="47E12993"/>
    <w:rsid w:val="48C851EC"/>
    <w:rsid w:val="4C5B0D62"/>
    <w:rsid w:val="4D9F1383"/>
    <w:rsid w:val="4F1F3A43"/>
    <w:rsid w:val="51431C0C"/>
    <w:rsid w:val="55A03EEB"/>
    <w:rsid w:val="5755438D"/>
    <w:rsid w:val="579B2850"/>
    <w:rsid w:val="5A4620CF"/>
    <w:rsid w:val="620C7D46"/>
    <w:rsid w:val="642151C1"/>
    <w:rsid w:val="68E65090"/>
    <w:rsid w:val="69012A9A"/>
    <w:rsid w:val="754F57A8"/>
    <w:rsid w:val="755A5A0C"/>
    <w:rsid w:val="764A19F0"/>
    <w:rsid w:val="77FC673E"/>
    <w:rsid w:val="7E4F463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60" w:after="160"/>
      <w:ind w:firstLine="640" w:firstLineChars="200"/>
      <w:outlineLvl w:val="2"/>
    </w:pPr>
    <w:rPr>
      <w:rFonts w:eastAsia="黑体"/>
      <w:bCs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0" w:after="15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  <w:bCs/>
    </w:rPr>
  </w:style>
  <w:style w:type="character" w:styleId="8">
    <w:name w:val="FollowedHyperlink"/>
    <w:basedOn w:val="6"/>
    <w:qFormat/>
    <w:uiPriority w:val="0"/>
    <w:rPr>
      <w:color w:val="3D3D3D"/>
      <w:u w:val="none"/>
    </w:rPr>
  </w:style>
  <w:style w:type="character" w:styleId="9">
    <w:name w:val="Emphasis"/>
    <w:basedOn w:val="6"/>
    <w:qFormat/>
    <w:uiPriority w:val="0"/>
    <w:rPr>
      <w:b/>
      <w:bCs/>
    </w:rPr>
  </w:style>
  <w:style w:type="character" w:styleId="10">
    <w:name w:val="HTML Definition"/>
    <w:basedOn w:val="6"/>
    <w:qFormat/>
    <w:uiPriority w:val="0"/>
  </w:style>
  <w:style w:type="character" w:styleId="11">
    <w:name w:val="HTML Variable"/>
    <w:basedOn w:val="6"/>
    <w:qFormat/>
    <w:uiPriority w:val="0"/>
  </w:style>
  <w:style w:type="character" w:styleId="12">
    <w:name w:val="Hyperlink"/>
    <w:basedOn w:val="6"/>
    <w:qFormat/>
    <w:uiPriority w:val="0"/>
    <w:rPr>
      <w:color w:val="3D3D3D"/>
      <w:u w:val="none"/>
    </w:rPr>
  </w:style>
  <w:style w:type="character" w:styleId="13">
    <w:name w:val="HTML Code"/>
    <w:basedOn w:val="6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4">
    <w:name w:val="HTML Cite"/>
    <w:basedOn w:val="6"/>
    <w:qFormat/>
    <w:uiPriority w:val="0"/>
  </w:style>
  <w:style w:type="character" w:styleId="15">
    <w:name w:val="HTML Keyboard"/>
    <w:basedOn w:val="6"/>
    <w:qFormat/>
    <w:uiPriority w:val="0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16">
    <w:name w:val="HTML Sample"/>
    <w:basedOn w:val="6"/>
    <w:qFormat/>
    <w:uiPriority w:val="0"/>
    <w:rPr>
      <w:rFonts w:hint="default" w:ascii="Consolas" w:hAnsi="Consolas" w:eastAsia="Consolas" w:cs="Consolas"/>
      <w:sz w:val="21"/>
      <w:szCs w:val="21"/>
    </w:rPr>
  </w:style>
  <w:style w:type="table" w:customStyle="1" w:styleId="1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8">
    <w:name w:val="first-child"/>
    <w:basedOn w:val="6"/>
    <w:qFormat/>
    <w:uiPriority w:val="0"/>
  </w:style>
  <w:style w:type="character" w:customStyle="1" w:styleId="19">
    <w:name w:val="u-btn"/>
    <w:basedOn w:val="6"/>
    <w:qFormat/>
    <w:uiPriority w:val="0"/>
  </w:style>
  <w:style w:type="character" w:customStyle="1" w:styleId="20">
    <w:name w:val="z-open"/>
    <w:basedOn w:val="6"/>
    <w:qFormat/>
    <w:uiPriority w:val="0"/>
  </w:style>
  <w:style w:type="character" w:customStyle="1" w:styleId="21">
    <w:name w:val="layui-layer-tabnow"/>
    <w:basedOn w:val="6"/>
    <w:qFormat/>
    <w:uiPriority w:val="0"/>
    <w:rPr>
      <w:bdr w:val="single" w:color="CCCCCC" w:sz="6" w:space="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3012</Words>
  <Characters>3127</Characters>
  <TotalTime>7</TotalTime>
  <ScaleCrop>false</ScaleCrop>
  <LinksUpToDate>false</LinksUpToDate>
  <CharactersWithSpaces>3195</CharactersWithSpaces>
  <Application>WPS Office_11.1.0.11636_F1E327BC-269C-435d-A152-05C5408002CA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2022-04-27T11:38:00Z</dcterms:created>
  <dc:creator>Kingsoft-PDF</dc:creator>
  <cp:keywords>6268babfb2ef130015937de2</cp:keywords>
  <cp:lastModifiedBy>❤️M❤️</cp:lastModifiedBy>
  <cp:lastPrinted>2022-04-29T07:14:00Z</cp:lastPrinted>
  <dcterms:modified xsi:type="dcterms:W3CDTF">2022-05-10T03:51:32Z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wqlLaW5nc29mdCBQREYgdG8gV1BTIDcw</vt:lpwstr>
  </property>
  <property fmtid="{D5CDD505-2E9C-101B-9397-08002B2CF9AE}" pid="3" name="Created">
    <vt:filetime>2022-04-27T11:38:56Z</vt:filetime>
  </property>
  <property fmtid="{D5CDD505-2E9C-101B-9397-08002B2CF9AE}" pid="4" name="KSOProductBuildVer">
    <vt:lpwstr>2052-11.1.0.11636</vt:lpwstr>
  </property>
  <property fmtid="{D5CDD505-2E9C-101B-9397-08002B2CF9AE}" pid="5" name="ICV">
    <vt:lpwstr>36301DF3294B4D6FAA016A0D1B75AC20</vt:lpwstr>
  </property>
</Properties>
</file>