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2B0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  <w:t>中共石台县委宣传部  石台县文化和旅游局 关于印发《石台县公共文化空间工程实施方案》的通知</w:t>
      </w:r>
      <w:bookmarkStart w:id="0" w:name="_GoBack"/>
      <w:bookmarkEnd w:id="0"/>
    </w:p>
    <w:p w14:paraId="7603B23D">
      <w:pPr>
        <w:jc w:val="center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石文旅〔</w:t>
      </w:r>
      <w:r>
        <w:rPr>
          <w:rFonts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34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ascii="仿宋_GB2312" w:hAnsi="宋体" w:eastAsia="仿宋_GB2312"/>
          <w:sz w:val="32"/>
          <w:szCs w:val="32"/>
        </w:rPr>
        <w:t xml:space="preserve">  </w:t>
      </w:r>
    </w:p>
    <w:p w14:paraId="146E5B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CA1BE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各乡镇人民政府、石台县农业农村局：</w:t>
      </w:r>
    </w:p>
    <w:p w14:paraId="11744F1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为深入贯彻落实全省扎实推进繁荣兴盛的文化强省建设大会精神，推动我县新时代公共文化服务高质量发展，现制定《石台县公共文化空间工程实施方案》，请结合实际，认真抓好落实。</w:t>
      </w:r>
    </w:p>
    <w:p w14:paraId="5F004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120" w:firstLineChars="1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47803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120" w:firstLineChars="1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0515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960" w:firstLineChars="3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中共石台县委宣传部        石台县文化和旅游局</w:t>
      </w:r>
    </w:p>
    <w:p w14:paraId="3EB94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2024年5月15日</w:t>
      </w:r>
    </w:p>
    <w:p w14:paraId="094EE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120" w:firstLineChars="1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0888C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  <w:t>石台县公共文化空间工程实施方案</w:t>
      </w:r>
    </w:p>
    <w:p w14:paraId="761B097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D1167A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为深入学习贯彻落实习近平文化思想，推动新时代公共文化服务高质量发展，更好满足人民群众美好生活新期待、增强人民获得感幸福感，根据《安徽省公共文化空间工程实施方案》、《池州市公共文化空间工程实施方案》有关精神，提出如下实施方案。 </w:t>
      </w:r>
    </w:p>
    <w:p w14:paraId="62954E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jc w:val="left"/>
        <w:textAlignment w:val="auto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一、总体目标 </w:t>
      </w:r>
    </w:p>
    <w:p w14:paraId="7763D80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“布局科学、规模适当、业态多元、特色鲜明”的要求，分阶段、有计划推动公共文化空间标准化、规范化建设。各级各类公共文化场馆、乡镇（街道）至少建有1个集阅读分享、艺术展演、培训讲座、科普教育、文艺沙龙、影视播放、公共社交等服务功能于一体的“精、特、美”的公共文化空间，不断提升公共文化服务覆盖面和实效性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到2027 年，全县建成9个左右具备公益性、综合性和特色性的公共文化空间。到 2030年，城区基本建成15分钟公共文化服务圈。 </w:t>
      </w:r>
    </w:p>
    <w:p w14:paraId="265760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jc w:val="left"/>
        <w:textAlignment w:val="auto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二、基本原则 </w:t>
      </w:r>
    </w:p>
    <w:p w14:paraId="2ACD42E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（一）坚持正确方向、以人为本。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坚持党的领导，牢牢把握社会主义先进文化前进方向，以社会主义核心价值观为引领。坚持以人民为中心，满足人民日益增长的文化需求，为人民群众提供更加充实、更为丰富、更高质量的公共文化服务。 </w:t>
      </w:r>
    </w:p>
    <w:p w14:paraId="1AE8DA1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（二）坚持政府主导、社会参与。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发挥政府统筹引导作用，充分调动各类社会主体积极性，整合多方资源，形成参与公共文化服务建设工作合力，增强公共文化服务活力。 </w:t>
      </w:r>
    </w:p>
    <w:p w14:paraId="0D7E87D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（三）坚持改革创新、融合发展。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坚持城乡公共文化空间建设与总分馆制有机结合，成为全民艺术普及和全民阅读推广的重要阵地。创新管理体制、运行机制和服务方式，推进跨界融合发展，实现资源共建共享，提升公共文化服务效能。 </w:t>
      </w:r>
    </w:p>
    <w:p w14:paraId="02376C9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（四）坚持因地制宜、分类推进。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根据城市与乡村特点及文化特色，科学谋划，稳步推进，探索具有不同区域特点、各具特色的公共文化空间建设模式，实现公共文化可持续发展。 </w:t>
      </w:r>
    </w:p>
    <w:p w14:paraId="5DE561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jc w:val="left"/>
        <w:textAlignment w:val="auto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三、主要任务 </w:t>
      </w:r>
    </w:p>
    <w:p w14:paraId="63A391F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（一）丰富文化功能。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开展”订单式””菜单式”“预约式“服务，推动有条件的公共文化空间开发文旅创意产品，组织研学活动，定期举办好书推荐、导读品读，开展音乐赏析、戏曲表演、书画品鉴、非遗体验等艺术分享，满足群众多层次、个性化文化需求。鼓励“分享式”“沉浸式”“场景式“服务，支持跨界融合，提供文化＋教育、文化＋旅游、文化＋体育、文化＋科普、文化＋普法等服务，适应大众化和分众化需求。 </w:t>
      </w:r>
    </w:p>
    <w:p w14:paraId="51D48E3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（二）统筹规划布局。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统筹规划文化空间建设，综合考虑服务人口、服务半径和服务需求，按照交通便捷、方便参与的要求，依托 15 分钟阅读圈，科学合理设置辖区内文化空间布局。将公共文化空间作为标准配置，纳入城乡建设整体规划。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原则上，城区服务人口5万人或服务半径 2 公里左右，布局 1 处具有一定规模的公共文化空间，全县建设9个左右,每个乡镇至少建设1个。 </w:t>
      </w:r>
    </w:p>
    <w:p w14:paraId="2D08C68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（三）坚持高标推进。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对标公共文化空间评级标准和服务规范，参加公共文化空间评估定级。评估将从布局设计、功能设置、服务人次、活动场次、数字化服务、运营模式、群众评价等 7 个维度进行，等级由高到低依次为一级、二级和三级。对标全省标准化试点和标杆化服务单位，提前规划，合理布局，大力推进公共文化空间场馆建设。公共文化空间既要好看，更要好用，做到规模适当、功能优先、经济适用、简约大方。 </w:t>
      </w:r>
    </w:p>
    <w:p w14:paraId="7B5C20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（四）创新建设方式。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依托现有文化设施、公共用房、历史建筑、公园绿地以及闲置商业和废旧工业厂区等，提供公共文化空间用地、用房。通过新建一批、改建一批、扩建一批、合作一批等方式，把符合条件的公共空间吸纳进来。充分利用公共文化场馆、新时代文明实践所、乡镇（街道）综合文化站、村（社区）文化服务中心等公共文化设施，支持对其功能布局进行改造。鼓励在旅游景区、文化广场、集市、商圈、商业综合体、大型住宅小区、艺术培训机构、交通枢纽等候区、实体书店、企业文化场所，闲置商业等区域，打造或改造一批公共文化空间。结合全面推进乡村振兴战略实施，依托和美乡村、农民文化乐园、居民安置点、乡村旅游点、非遗手工作坊、民宿、传统村落、古民居、养老院、宗祠、村史馆等打造一批农村公共文化空间。 </w:t>
      </w:r>
    </w:p>
    <w:p w14:paraId="738E166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（五）鼓励社会参与。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通过政府购买服务、以奖代补、挂牌命名等措施，鼓励企业、社会组织和其他社会力量依法依规参与公共文化空间建设、管理和运营。通过委托管理、合作运营、独立经办等方式，大力支持社会力量参与公共文化空间管理运营，根据运营成本、服务内容、市场供需状况合理收费。鼓励文化能人、非遗传承人、乡村文化和旅游带头人、和美乡村推介官等参与公共文化空间的建设管理。 </w:t>
      </w:r>
    </w:p>
    <w:p w14:paraId="0603E47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（六）提升数智服务。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推动公共文化空间互联网全覆盖，建立适用于公共文化空间场景应用的数字资源库，加大向农村地区推送力度。创新运用交互性技术，开发沉浸式数字文化体验产品，加强线上线下融合互动，形成立体式数字服务网络。鼓励依托现有技术平台收集新空间服务数据，使用人工智能、大数据等新技术，提升公共文化“数智”服务水平。 </w:t>
      </w:r>
    </w:p>
    <w:p w14:paraId="14C50B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jc w:val="left"/>
        <w:textAlignment w:val="auto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三、保障措施 </w:t>
      </w:r>
    </w:p>
    <w:p w14:paraId="4C5084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sz w:val="32"/>
          <w:szCs w:val="32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（一）强化组织领导。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>成立县发改、财政、文化和旅游、住建、规划、体育、科经等部门联动机制，研究制定年度建设计划并组织实施，统筹推进建设工作。</w:t>
      </w:r>
    </w:p>
    <w:p w14:paraId="4C3715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（二）强化扶持保障。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支持公共文化空间服务项目纳入政府公共文化服务采购范围。鼓励民间资本依法参与公共文化服务建设，拓宽资金渠道。支持将公共文化空间人才培养纳入基层公共文化队伍培训计划。广泛招募志愿组织和志愿者，参与公共文化空间管理运营，实现公共文化空间的低成本长效运营。 </w:t>
      </w:r>
    </w:p>
    <w:p w14:paraId="3BE8D6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（三）强化规范管理。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按照《国家基本公共服务标准(2023 年版）》和《安徽省公共文化服务保障条例》，公共文化空间应免费或优惠提供基本公共文化服务。制定绩效考核制度，组织开展服务效能考核，根据考核结果给予奖惩。设立准入退出机制，实行动态管理，将意识形态责任制落实不力、发生重大安全生产事故、负面舆情处置不当造成严重影响、国有资产流失等情况列入退出机制。不得利用公共文化空间开展任何宗教类活动或其他非法活动。 </w:t>
      </w:r>
    </w:p>
    <w:p w14:paraId="07A6CB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 w:firstLineChars="200"/>
        <w:jc w:val="left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ascii="楷体_GB2312" w:hAnsi="楷体_GB2312" w:eastAsia="楷体_GB2312" w:cs="楷体_GB2312"/>
          <w:b/>
          <w:bCs/>
          <w:color w:val="000000"/>
          <w:kern w:val="0"/>
          <w:sz w:val="31"/>
          <w:szCs w:val="31"/>
          <w:lang w:val="en-US" w:eastAsia="zh-CN" w:bidi="ar"/>
        </w:rPr>
        <w:t>（四）强化示范引领。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组织参加公共文化空间评估定级，评估结果列入目标考核范围，推动公共文化空间规范化、品质化、特色化运行。及时总结经验，培育特色鲜明的公共文化服务品牌。加强宣传推广和舆论引导，大力宣传公共文化空间在保障群众的公共文化权益、提高城市的文化品位、增强人民群众的获得感等方面的重要意义。 </w:t>
      </w:r>
    </w:p>
    <w:p w14:paraId="131F25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5BF2A84-7729-4595-B1B0-DC69EF63B5E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40CD511-5271-4D56-9C6B-65D77D82DC8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D0956BA-218C-45D3-9BF3-3A92811BCE6C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AEF84ACE-AF87-496D-955C-3FF71718FF6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F2DE9AF2-16C2-460F-A621-488427B8512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656A4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A977C1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A977C1">
                    <w:pPr>
                      <w:pStyle w:val="2"/>
                    </w:pPr>
                    <w: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3MTQzNGUwOGI3MWRlZDFkNTQzZTYzMzBkMmRkYTcifQ=="/>
  </w:docVars>
  <w:rsids>
    <w:rsidRoot w:val="12E24A01"/>
    <w:rsid w:val="02AA24B5"/>
    <w:rsid w:val="12E24A01"/>
    <w:rsid w:val="14CB202B"/>
    <w:rsid w:val="1F3A1CC8"/>
    <w:rsid w:val="22AF0405"/>
    <w:rsid w:val="281D1F5C"/>
    <w:rsid w:val="28BC1F5F"/>
    <w:rsid w:val="2DAB289C"/>
    <w:rsid w:val="2FCB527B"/>
    <w:rsid w:val="323A11A4"/>
    <w:rsid w:val="34311A53"/>
    <w:rsid w:val="3738752B"/>
    <w:rsid w:val="3D8E57C1"/>
    <w:rsid w:val="4498603F"/>
    <w:rsid w:val="513335F8"/>
    <w:rsid w:val="5268268C"/>
    <w:rsid w:val="58C40857"/>
    <w:rsid w:val="5F5F2376"/>
    <w:rsid w:val="66DA4886"/>
    <w:rsid w:val="6CA23B74"/>
    <w:rsid w:val="6EC943A8"/>
    <w:rsid w:val="703435A0"/>
    <w:rsid w:val="77ED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2649</Words>
  <Characters>2669</Characters>
  <Lines>0</Lines>
  <Paragraphs>0</Paragraphs>
  <TotalTime>0</TotalTime>
  <ScaleCrop>false</ScaleCrop>
  <LinksUpToDate>false</LinksUpToDate>
  <CharactersWithSpaces>2712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2024-05-08T07:15:00Z</dcterms:created>
  <dc:creator>Violet1417919529</dc:creator>
  <cp:lastModifiedBy>小怪兽</cp:lastModifiedBy>
  <cp:lastPrinted>2024-05-23T02:50:00Z</cp:lastPrinted>
  <dcterms:modified xsi:type="dcterms:W3CDTF">2024-07-30T06:38:40Z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777D57AEED654408965E503F3971EFA2_13</vt:lpwstr>
  </property>
</Properties>
</file>