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center"/>
        <w:rPr>
          <w:rFonts w:hint="default" w:ascii="Times New Roman" w:hAnsi="Times New Roman" w:eastAsia="方正小标宋简体" w:cs="Times New Roman"/>
          <w:bCs/>
          <w:sz w:val="44"/>
          <w:szCs w:val="44"/>
        </w:rPr>
      </w:pPr>
      <w:r>
        <w:rPr>
          <w:rFonts w:hint="eastAsia" w:ascii="Times New Roman" w:hAnsi="Times New Roman" w:eastAsia="方正小标宋简体" w:cs="Times New Roman"/>
          <w:bCs/>
          <w:sz w:val="44"/>
          <w:szCs w:val="44"/>
          <w:lang w:val="en-US" w:eastAsia="zh-CN"/>
        </w:rPr>
        <w:t>《石台县集中式地表水饮用水水源地（二水厂</w:t>
      </w:r>
      <w:r>
        <w:rPr>
          <w:rFonts w:hint="eastAsia" w:eastAsia="方正小标宋简体" w:cs="Times New Roman"/>
          <w:bCs/>
          <w:sz w:val="44"/>
          <w:szCs w:val="44"/>
          <w:lang w:val="en-US" w:eastAsia="zh-CN"/>
        </w:rPr>
        <w:t>、</w:t>
      </w:r>
      <w:r>
        <w:rPr>
          <w:rFonts w:hint="eastAsia" w:ascii="Times New Roman" w:hAnsi="Times New Roman" w:eastAsia="方正小标宋简体" w:cs="Times New Roman"/>
          <w:bCs/>
          <w:sz w:val="44"/>
          <w:szCs w:val="44"/>
          <w:lang w:val="en-US" w:eastAsia="zh-CN"/>
        </w:rPr>
        <w:t>古潭水库）突发环境事件应急预案</w:t>
      </w:r>
      <w:r>
        <w:rPr>
          <w:rFonts w:hint="eastAsia" w:eastAsia="方正小标宋简体" w:cs="Times New Roman"/>
          <w:bCs/>
          <w:sz w:val="44"/>
          <w:szCs w:val="44"/>
          <w:lang w:val="en-US" w:eastAsia="zh-CN"/>
        </w:rPr>
        <w:t>（征求意见稿）</w:t>
      </w:r>
      <w:r>
        <w:rPr>
          <w:rFonts w:hint="eastAsia" w:ascii="Times New Roman" w:hAnsi="Times New Roman" w:eastAsia="方正小标宋简体" w:cs="Times New Roman"/>
          <w:bCs/>
          <w:sz w:val="44"/>
          <w:szCs w:val="44"/>
          <w:lang w:val="en-US" w:eastAsia="zh-CN"/>
        </w:rPr>
        <w:t>》、《石台县乡镇集中式地表水饮用水源突发环境事件应急预案</w:t>
      </w:r>
      <w:r>
        <w:rPr>
          <w:rFonts w:hint="eastAsia" w:eastAsia="方正小标宋简体" w:cs="Times New Roman"/>
          <w:bCs/>
          <w:sz w:val="44"/>
          <w:szCs w:val="44"/>
          <w:lang w:val="en-US" w:eastAsia="zh-CN"/>
        </w:rPr>
        <w:t>（征求意见稿）</w:t>
      </w:r>
      <w:r>
        <w:rPr>
          <w:rFonts w:hint="eastAsia" w:ascii="Times New Roman" w:hAnsi="Times New Roman" w:eastAsia="方正小标宋简体" w:cs="Times New Roman"/>
          <w:bCs/>
          <w:sz w:val="44"/>
          <w:szCs w:val="44"/>
          <w:lang w:val="en-US" w:eastAsia="zh-CN"/>
        </w:rPr>
        <w:t>》</w:t>
      </w:r>
      <w:r>
        <w:rPr>
          <w:rFonts w:hint="default" w:ascii="Times New Roman" w:hAnsi="Times New Roman" w:eastAsia="方正小标宋简体" w:cs="Times New Roman"/>
          <w:bCs/>
          <w:sz w:val="44"/>
          <w:szCs w:val="44"/>
        </w:rPr>
        <w:t>起草说明</w:t>
      </w:r>
    </w:p>
    <w:p>
      <w:pPr>
        <w:pStyle w:val="6"/>
        <w:spacing w:line="560" w:lineRule="exact"/>
        <w:ind w:firstLine="640" w:firstLineChars="200"/>
        <w:rPr>
          <w:rFonts w:hint="default" w:ascii="Times New Roman" w:hAnsi="Times New Roman" w:eastAsia="黑体" w:cs="Times New Roman"/>
          <w:spacing w:val="0"/>
        </w:rPr>
      </w:pPr>
      <w:bookmarkStart w:id="0" w:name="bookmark0"/>
    </w:p>
    <w:p>
      <w:pPr>
        <w:pStyle w:val="6"/>
        <w:keepNext w:val="0"/>
        <w:keepLines w:val="0"/>
        <w:pageBreakBefore w:val="0"/>
        <w:kinsoku/>
        <w:wordWrap/>
        <w:overflowPunct/>
        <w:topLinePunct w:val="0"/>
        <w:bidi w:val="0"/>
        <w:adjustRightInd/>
        <w:snapToGrid/>
        <w:spacing w:line="560" w:lineRule="exact"/>
        <w:ind w:firstLine="640" w:firstLineChars="200"/>
        <w:jc w:val="both"/>
        <w:textAlignment w:val="auto"/>
        <w:rPr>
          <w:rFonts w:hint="default" w:ascii="Times New Roman" w:hAnsi="Times New Roman" w:eastAsia="黑体" w:cs="Times New Roman"/>
          <w:spacing w:val="0"/>
        </w:rPr>
      </w:pPr>
      <w:r>
        <w:rPr>
          <w:rFonts w:hint="default" w:ascii="Times New Roman" w:hAnsi="Times New Roman" w:eastAsia="黑体" w:cs="Times New Roman"/>
          <w:spacing w:val="0"/>
        </w:rPr>
        <w:t>一</w:t>
      </w:r>
      <w:bookmarkEnd w:id="0"/>
      <w:r>
        <w:rPr>
          <w:rFonts w:hint="default" w:ascii="Times New Roman" w:hAnsi="Times New Roman" w:eastAsia="黑体" w:cs="Times New Roman"/>
          <w:spacing w:val="0"/>
        </w:rPr>
        <w:t>、</w:t>
      </w:r>
      <w:r>
        <w:rPr>
          <w:rFonts w:hint="eastAsia" w:ascii="Times New Roman" w:hAnsi="Times New Roman" w:eastAsia="黑体" w:cs="Times New Roman"/>
          <w:spacing w:val="0"/>
          <w:lang w:val="en-US" w:eastAsia="zh-CN"/>
        </w:rPr>
        <w:t>预案</w:t>
      </w:r>
      <w:r>
        <w:rPr>
          <w:rFonts w:hint="default" w:ascii="Times New Roman" w:hAnsi="Times New Roman" w:eastAsia="黑体" w:cs="Times New Roman"/>
          <w:spacing w:val="0"/>
        </w:rPr>
        <w:t>制定背景和依据</w:t>
      </w:r>
    </w:p>
    <w:p>
      <w:pPr>
        <w:keepNext w:val="0"/>
        <w:keepLines w:val="0"/>
        <w:pageBreakBefore w:val="0"/>
        <w:widowControl/>
        <w:suppressLineNumbers w:val="0"/>
        <w:kinsoku/>
        <w:wordWrap/>
        <w:overflowPunct/>
        <w:topLinePunct w:val="0"/>
        <w:bidi w:val="0"/>
        <w:adjustRightInd/>
        <w:snapToGrid/>
        <w:ind w:firstLine="640" w:firstLineChars="200"/>
        <w:jc w:val="both"/>
        <w:textAlignment w:val="auto"/>
        <w:rPr>
          <w:rFonts w:hint="eastAsia" w:eastAsia="仿宋_GB2312" w:cs="Times New Roman"/>
          <w:sz w:val="32"/>
          <w:szCs w:val="20"/>
          <w:lang w:val="en-US" w:eastAsia="zh-CN"/>
        </w:rPr>
      </w:pPr>
      <w:bookmarkStart w:id="1" w:name="bookmark4"/>
      <w:r>
        <w:rPr>
          <w:rFonts w:hint="eastAsia" w:eastAsia="仿宋_GB2312" w:cs="Times New Roman"/>
          <w:sz w:val="32"/>
          <w:szCs w:val="20"/>
          <w:lang w:val="en-US" w:eastAsia="zh-CN"/>
        </w:rPr>
        <w:t>（一）《</w:t>
      </w:r>
      <w:r>
        <w:rPr>
          <w:rFonts w:hint="eastAsia" w:ascii="Times New Roman" w:hAnsi="Times New Roman" w:eastAsia="仿宋_GB2312" w:cs="Times New Roman"/>
          <w:sz w:val="32"/>
          <w:szCs w:val="20"/>
          <w:lang w:val="en-US" w:eastAsia="zh-CN"/>
        </w:rPr>
        <w:t>中华人民共和国水污染防治法》</w:t>
      </w:r>
      <w:r>
        <w:rPr>
          <w:rFonts w:hint="eastAsia" w:eastAsia="仿宋_GB2312" w:cs="Times New Roman"/>
          <w:sz w:val="32"/>
          <w:szCs w:val="20"/>
          <w:lang w:val="en-US" w:eastAsia="zh-CN"/>
        </w:rPr>
        <w:t>第七十九条“市、县级人民政府应当组织编制饮用水安全突发事件应急预案。饮用水供水单位应当根据所在地饮用水安全突发事件应急预案，制定相应的突发事件应急方案，报所在地市、县级人民政府备案，并定期进行演练。饮用水水源发生水污染事故，或者发生其他可能影响饮用水安全的突发性事件，饮用水供水单位应当采取应急处理措施，向所在地市、县级人民政府报告，并向社会公开。有关人民政府应当根据情况及时启动应急预案，采取有效措施，保障供水安全”</w:t>
      </w:r>
      <w:r>
        <w:rPr>
          <w:rFonts w:hint="eastAsia" w:ascii="Times New Roman" w:hAnsi="Times New Roman" w:eastAsia="仿宋_GB2312" w:cs="Times New Roman"/>
          <w:sz w:val="32"/>
          <w:szCs w:val="20"/>
          <w:lang w:val="en-US" w:eastAsia="zh-CN"/>
        </w:rPr>
        <w:t>和《安徽省饮用水水源环境保护条例》第三十一条第一款“各级人民政府应当组织编制本行政区域饮用水水源污染事故应急预案，配备应急救援设施设备和物资，建立应急救援队伍。”</w:t>
      </w:r>
    </w:p>
    <w:p>
      <w:pPr>
        <w:keepNext w:val="0"/>
        <w:keepLines w:val="0"/>
        <w:pageBreakBefore w:val="0"/>
        <w:widowControl/>
        <w:suppressLineNumbers w:val="0"/>
        <w:kinsoku/>
        <w:wordWrap/>
        <w:overflowPunct/>
        <w:topLinePunct w:val="0"/>
        <w:bidi w:val="0"/>
        <w:adjustRightInd/>
        <w:snapToGrid/>
        <w:ind w:firstLine="640" w:firstLineChars="200"/>
        <w:jc w:val="both"/>
        <w:textAlignment w:val="auto"/>
        <w:rPr>
          <w:rFonts w:hint="default" w:ascii="Times New Roman" w:hAnsi="Times New Roman" w:eastAsia="仿宋_GB2312" w:cs="Times New Roman"/>
          <w:sz w:val="32"/>
          <w:szCs w:val="20"/>
          <w:lang w:val="en-US" w:eastAsia="zh-CN"/>
        </w:rPr>
      </w:pPr>
      <w:r>
        <w:rPr>
          <w:rFonts w:hint="eastAsia" w:eastAsia="仿宋_GB2312" w:cs="Times New Roman"/>
          <w:sz w:val="32"/>
          <w:szCs w:val="20"/>
          <w:lang w:val="en-US" w:eastAsia="zh-CN"/>
        </w:rPr>
        <w:t>（二）</w:t>
      </w:r>
      <w:r>
        <w:rPr>
          <w:rFonts w:hint="eastAsia" w:ascii="Times New Roman" w:hAnsi="Times New Roman" w:eastAsia="仿宋_GB2312" w:cs="Times New Roman"/>
          <w:sz w:val="32"/>
          <w:szCs w:val="20"/>
          <w:lang w:val="en-US" w:eastAsia="zh-CN"/>
        </w:rPr>
        <w:t>为提高对石台县</w:t>
      </w:r>
      <w:r>
        <w:rPr>
          <w:rFonts w:hint="eastAsia" w:eastAsia="仿宋_GB2312" w:cs="Times New Roman"/>
          <w:sz w:val="32"/>
          <w:szCs w:val="20"/>
          <w:lang w:val="en-US" w:eastAsia="zh-CN"/>
        </w:rPr>
        <w:t>县级</w:t>
      </w:r>
      <w:r>
        <w:rPr>
          <w:rFonts w:hint="eastAsia" w:ascii="Times New Roman" w:hAnsi="Times New Roman" w:eastAsia="仿宋_GB2312" w:cs="Times New Roman"/>
          <w:sz w:val="32"/>
          <w:szCs w:val="20"/>
          <w:lang w:val="en-US" w:eastAsia="zh-CN"/>
        </w:rPr>
        <w:t>集中式地表水饮用水水源地（古潭水库备用饮用水、二水厂饮用水）</w:t>
      </w:r>
      <w:r>
        <w:rPr>
          <w:rFonts w:hint="eastAsia" w:eastAsia="仿宋_GB2312" w:cs="Times New Roman"/>
          <w:sz w:val="32"/>
          <w:szCs w:val="20"/>
          <w:lang w:val="en-US" w:eastAsia="zh-CN"/>
        </w:rPr>
        <w:t>和乡镇级饮用水水源地（小河镇、丁香镇、七都镇、仙寓镇、大演乡）</w:t>
      </w:r>
      <w:r>
        <w:rPr>
          <w:rFonts w:hint="eastAsia" w:ascii="Times New Roman" w:hAnsi="Times New Roman" w:eastAsia="仿宋_GB2312" w:cs="Times New Roman"/>
          <w:sz w:val="32"/>
          <w:szCs w:val="20"/>
          <w:lang w:val="en-US" w:eastAsia="zh-CN"/>
        </w:rPr>
        <w:t>突发环境事件的防范和处置能力，最大程度地降低突发环境事件对水源地水质影响，及时控制和消除水源地突发环境事件的危害，保障公众</w:t>
      </w:r>
      <w:r>
        <w:rPr>
          <w:rFonts w:hint="eastAsia" w:eastAsia="仿宋_GB2312" w:cs="Times New Roman"/>
          <w:sz w:val="32"/>
          <w:szCs w:val="20"/>
          <w:lang w:val="en-US" w:eastAsia="zh-CN"/>
        </w:rPr>
        <w:t>饮水</w:t>
      </w:r>
      <w:r>
        <w:rPr>
          <w:rFonts w:hint="eastAsia" w:ascii="Times New Roman" w:hAnsi="Times New Roman" w:eastAsia="仿宋_GB2312" w:cs="Times New Roman"/>
          <w:sz w:val="32"/>
          <w:szCs w:val="20"/>
          <w:lang w:val="en-US" w:eastAsia="zh-CN"/>
        </w:rPr>
        <w:t>安全。</w:t>
      </w:r>
      <w:r>
        <w:rPr>
          <w:rFonts w:hint="eastAsia" w:eastAsia="仿宋_GB2312" w:cs="Times New Roman"/>
          <w:sz w:val="32"/>
          <w:szCs w:val="20"/>
          <w:lang w:val="en-US" w:eastAsia="zh-CN"/>
        </w:rPr>
        <w:t>因此，</w:t>
      </w:r>
      <w:r>
        <w:rPr>
          <w:rFonts w:hint="eastAsia" w:ascii="Times New Roman" w:hAnsi="Times New Roman" w:eastAsia="仿宋_GB2312" w:cs="Times New Roman"/>
          <w:sz w:val="32"/>
          <w:szCs w:val="20"/>
          <w:lang w:val="en-US" w:eastAsia="zh-CN"/>
        </w:rPr>
        <w:t>根据《中华人民共和国水污染防治法》和《集中式地表水饮用水水源地突发环境事件应急预案编制指南（试行）》</w:t>
      </w:r>
      <w:r>
        <w:rPr>
          <w:rFonts w:hint="eastAsia" w:eastAsia="仿宋_GB2312" w:cs="Times New Roman"/>
          <w:sz w:val="32"/>
          <w:szCs w:val="20"/>
          <w:lang w:val="en-US" w:eastAsia="zh-CN"/>
        </w:rPr>
        <w:t>，组织开展了对</w:t>
      </w:r>
      <w:r>
        <w:rPr>
          <w:rFonts w:hint="eastAsia" w:ascii="Times New Roman" w:hAnsi="Times New Roman" w:eastAsia="仿宋_GB2312" w:cs="Times New Roman"/>
          <w:sz w:val="32"/>
          <w:szCs w:val="20"/>
          <w:lang w:val="en-US" w:eastAsia="zh-CN"/>
        </w:rPr>
        <w:t>石台县</w:t>
      </w:r>
      <w:r>
        <w:rPr>
          <w:rFonts w:hint="eastAsia" w:eastAsia="仿宋_GB2312" w:cs="Times New Roman"/>
          <w:sz w:val="32"/>
          <w:szCs w:val="20"/>
          <w:lang w:val="en-US" w:eastAsia="zh-CN"/>
        </w:rPr>
        <w:t>县级</w:t>
      </w:r>
      <w:r>
        <w:rPr>
          <w:rFonts w:hint="eastAsia" w:ascii="Times New Roman" w:hAnsi="Times New Roman" w:eastAsia="仿宋_GB2312" w:cs="Times New Roman"/>
          <w:sz w:val="32"/>
          <w:szCs w:val="20"/>
          <w:lang w:val="en-US" w:eastAsia="zh-CN"/>
        </w:rPr>
        <w:t>集中式地表水饮用水水源地</w:t>
      </w:r>
      <w:r>
        <w:rPr>
          <w:rFonts w:hint="eastAsia" w:eastAsia="仿宋_GB2312" w:cs="Times New Roman"/>
          <w:sz w:val="32"/>
          <w:szCs w:val="20"/>
          <w:lang w:val="en-US" w:eastAsia="zh-CN"/>
        </w:rPr>
        <w:t>应急预案的修订和乡镇级饮用水水源地应急预案的编制工作。</w:t>
      </w:r>
    </w:p>
    <w:p>
      <w:pPr>
        <w:keepNext w:val="0"/>
        <w:keepLines w:val="0"/>
        <w:pageBreakBefore w:val="0"/>
        <w:kinsoku/>
        <w:wordWrap/>
        <w:overflowPunct/>
        <w:topLinePunct w:val="0"/>
        <w:bidi w:val="0"/>
        <w:adjustRightInd/>
        <w:snapToGrid/>
        <w:spacing w:line="64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w:t>
      </w:r>
      <w:bookmarkEnd w:id="1"/>
      <w:r>
        <w:rPr>
          <w:rFonts w:hint="default" w:ascii="Times New Roman" w:hAnsi="Times New Roman" w:eastAsia="黑体" w:cs="Times New Roman"/>
          <w:sz w:val="32"/>
          <w:szCs w:val="32"/>
        </w:rPr>
        <w:t>、</w:t>
      </w:r>
      <w:r>
        <w:rPr>
          <w:rFonts w:hint="eastAsia" w:eastAsia="黑体" w:cs="Times New Roman"/>
          <w:sz w:val="32"/>
          <w:szCs w:val="32"/>
          <w:lang w:val="en-US" w:eastAsia="zh-CN"/>
        </w:rPr>
        <w:t>预案编制</w:t>
      </w:r>
      <w:r>
        <w:rPr>
          <w:rFonts w:hint="default" w:ascii="Times New Roman" w:hAnsi="Times New Roman" w:eastAsia="黑体" w:cs="Times New Roman"/>
          <w:sz w:val="32"/>
          <w:szCs w:val="32"/>
        </w:rPr>
        <w:t>过程</w:t>
      </w:r>
    </w:p>
    <w:p>
      <w:pPr>
        <w:keepNext w:val="0"/>
        <w:keepLines w:val="0"/>
        <w:pageBreakBefore w:val="0"/>
        <w:widowControl/>
        <w:kinsoku/>
        <w:wordWrap/>
        <w:overflowPunct/>
        <w:topLinePunct w:val="0"/>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20"/>
          <w:lang w:val="en-US" w:eastAsia="zh-CN"/>
        </w:rPr>
      </w:pPr>
      <w:bookmarkStart w:id="2" w:name="bookmark5"/>
      <w:r>
        <w:rPr>
          <w:rFonts w:hint="eastAsia" w:ascii="仿宋_GB2312" w:hAnsi="仿宋_GB2312" w:eastAsia="仿宋_GB2312" w:cs="仿宋_GB2312"/>
          <w:b w:val="0"/>
          <w:bCs w:val="0"/>
          <w:kern w:val="2"/>
          <w:sz w:val="32"/>
          <w:szCs w:val="32"/>
          <w:lang w:val="en-US" w:eastAsia="zh-CN" w:bidi="ar-SA"/>
        </w:rPr>
        <w:t>（一）</w:t>
      </w:r>
      <w:r>
        <w:rPr>
          <w:rFonts w:hint="eastAsia" w:ascii="Times New Roman" w:hAnsi="Times New Roman" w:eastAsia="仿宋_GB2312" w:cs="Times New Roman"/>
          <w:sz w:val="32"/>
          <w:szCs w:val="20"/>
          <w:lang w:val="en-US" w:eastAsia="zh-CN"/>
        </w:rPr>
        <w:t>202</w:t>
      </w:r>
      <w:r>
        <w:rPr>
          <w:rFonts w:hint="eastAsia" w:eastAsia="仿宋_GB2312" w:cs="Times New Roman"/>
          <w:sz w:val="32"/>
          <w:szCs w:val="20"/>
          <w:lang w:val="en-US" w:eastAsia="zh-CN"/>
        </w:rPr>
        <w:t>4</w:t>
      </w:r>
      <w:r>
        <w:rPr>
          <w:rFonts w:hint="eastAsia" w:ascii="Times New Roman" w:hAnsi="Times New Roman" w:eastAsia="仿宋_GB2312" w:cs="Times New Roman"/>
          <w:sz w:val="32"/>
          <w:szCs w:val="20"/>
          <w:lang w:val="en-US" w:eastAsia="zh-CN"/>
        </w:rPr>
        <w:t>年</w:t>
      </w:r>
      <w:r>
        <w:rPr>
          <w:rFonts w:hint="eastAsia" w:eastAsia="仿宋_GB2312" w:cs="Times New Roman"/>
          <w:sz w:val="32"/>
          <w:szCs w:val="20"/>
          <w:lang w:val="en-US" w:eastAsia="zh-CN"/>
        </w:rPr>
        <w:t>8</w:t>
      </w:r>
      <w:r>
        <w:rPr>
          <w:rFonts w:hint="eastAsia" w:ascii="Times New Roman" w:hAnsi="Times New Roman" w:eastAsia="仿宋_GB2312" w:cs="Times New Roman"/>
          <w:sz w:val="32"/>
          <w:szCs w:val="20"/>
          <w:lang w:val="en-US" w:eastAsia="zh-CN"/>
        </w:rPr>
        <w:t>月，池州市石台县生态环境分局对</w:t>
      </w:r>
      <w:r>
        <w:rPr>
          <w:rFonts w:hint="eastAsia" w:eastAsia="仿宋_GB2312" w:cs="Times New Roman"/>
          <w:sz w:val="32"/>
          <w:szCs w:val="20"/>
          <w:lang w:val="en-US" w:eastAsia="zh-CN"/>
        </w:rPr>
        <w:t>石台县</w:t>
      </w:r>
      <w:r>
        <w:rPr>
          <w:rFonts w:hint="eastAsia" w:ascii="Times New Roman" w:hAnsi="Times New Roman" w:eastAsia="仿宋_GB2312" w:cs="Times New Roman"/>
          <w:sz w:val="32"/>
          <w:szCs w:val="20"/>
          <w:lang w:val="en-US" w:eastAsia="zh-CN"/>
        </w:rPr>
        <w:t>县级集中式地表水饮用水水源地和乡镇级饮用水水源地进行了前期调研，并委托第三方编制单位进行</w:t>
      </w:r>
      <w:r>
        <w:rPr>
          <w:rFonts w:hint="eastAsia" w:eastAsia="仿宋_GB2312" w:cs="Times New Roman"/>
          <w:sz w:val="32"/>
          <w:szCs w:val="20"/>
          <w:lang w:val="en-US" w:eastAsia="zh-CN"/>
        </w:rPr>
        <w:t>水源地应急预案</w:t>
      </w:r>
      <w:r>
        <w:rPr>
          <w:rFonts w:hint="eastAsia" w:ascii="Times New Roman" w:hAnsi="Times New Roman" w:eastAsia="仿宋_GB2312" w:cs="Times New Roman"/>
          <w:sz w:val="32"/>
          <w:szCs w:val="20"/>
          <w:lang w:val="en-US" w:eastAsia="zh-CN"/>
        </w:rPr>
        <w:t>的起草工作，形成初稿。</w:t>
      </w:r>
    </w:p>
    <w:p>
      <w:pPr>
        <w:keepNext w:val="0"/>
        <w:keepLines w:val="0"/>
        <w:pageBreakBefore w:val="0"/>
        <w:widowControl/>
        <w:kinsoku/>
        <w:wordWrap/>
        <w:overflowPunct/>
        <w:topLinePunct w:val="0"/>
        <w:bidi w:val="0"/>
        <w:adjustRightInd/>
        <w:snapToGrid/>
        <w:spacing w:line="560" w:lineRule="exact"/>
        <w:ind w:firstLine="640" w:firstLineChars="200"/>
        <w:jc w:val="both"/>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二）2024年9月14日，池州市石台县生态环境分局在政务信息公开网站上发布《石台县集中式地表水饮用水水源地（古潭水库备用饮用水、二水厂饮用水）突发环境事件应急预案（征求意见稿）》、《石台县乡镇集中式地表水饮用水源突发环境事件应急预案（征求意见稿）</w:t>
      </w:r>
      <w:bookmarkStart w:id="4" w:name="_GoBack"/>
      <w:bookmarkEnd w:id="4"/>
      <w:r>
        <w:rPr>
          <w:rFonts w:hint="eastAsia" w:ascii="仿宋_GB2312" w:hAnsi="仿宋_GB2312" w:eastAsia="仿宋_GB2312" w:cs="仿宋_GB2312"/>
          <w:b w:val="0"/>
          <w:bCs w:val="0"/>
          <w:kern w:val="2"/>
          <w:sz w:val="32"/>
          <w:szCs w:val="32"/>
          <w:lang w:val="en-US" w:eastAsia="zh-CN" w:bidi="ar-SA"/>
        </w:rPr>
        <w:t>》向社会公开征求意见。</w:t>
      </w:r>
    </w:p>
    <w:bookmarkEnd w:id="2"/>
    <w:p>
      <w:pPr>
        <w:keepNext w:val="0"/>
        <w:keepLines w:val="0"/>
        <w:pageBreakBefore w:val="0"/>
        <w:kinsoku/>
        <w:wordWrap/>
        <w:overflowPunct/>
        <w:topLinePunct w:val="0"/>
        <w:bidi w:val="0"/>
        <w:adjustRightInd/>
        <w:snapToGrid/>
        <w:spacing w:line="640" w:lineRule="exact"/>
        <w:ind w:firstLine="640" w:firstLineChars="200"/>
        <w:jc w:val="both"/>
        <w:textAlignment w:val="auto"/>
        <w:rPr>
          <w:rFonts w:hint="default" w:ascii="Times New Roman" w:hAnsi="Times New Roman" w:eastAsia="黑体" w:cs="Times New Roman"/>
          <w:sz w:val="32"/>
          <w:szCs w:val="32"/>
        </w:rPr>
      </w:pPr>
      <w:bookmarkStart w:id="3" w:name="bookmark7"/>
      <w:r>
        <w:rPr>
          <w:rFonts w:hint="default" w:ascii="Times New Roman" w:hAnsi="Times New Roman" w:eastAsia="黑体" w:cs="Times New Roman"/>
          <w:sz w:val="32"/>
          <w:szCs w:val="32"/>
        </w:rPr>
        <w:t>三</w:t>
      </w:r>
      <w:bookmarkEnd w:id="3"/>
      <w:r>
        <w:rPr>
          <w:rFonts w:hint="default" w:ascii="Times New Roman" w:hAnsi="Times New Roman" w:eastAsia="黑体" w:cs="Times New Roman"/>
          <w:sz w:val="32"/>
          <w:szCs w:val="32"/>
        </w:rPr>
        <w:t>、</w:t>
      </w:r>
      <w:r>
        <w:rPr>
          <w:rFonts w:hint="eastAsia" w:eastAsia="黑体" w:cs="Times New Roman"/>
          <w:sz w:val="32"/>
          <w:szCs w:val="32"/>
          <w:lang w:val="en-US" w:eastAsia="zh-CN"/>
        </w:rPr>
        <w:t>预案</w:t>
      </w:r>
      <w:r>
        <w:rPr>
          <w:rFonts w:hint="default" w:ascii="Times New Roman" w:hAnsi="Times New Roman" w:eastAsia="黑体" w:cs="Times New Roman"/>
          <w:sz w:val="32"/>
          <w:szCs w:val="32"/>
        </w:rPr>
        <w:t>主要内容</w:t>
      </w:r>
    </w:p>
    <w:p>
      <w:pPr>
        <w:keepNext w:val="0"/>
        <w:keepLines w:val="0"/>
        <w:pageBreakBefore w:val="0"/>
        <w:widowControl/>
        <w:kinsoku/>
        <w:wordWrap/>
        <w:overflowPunct/>
        <w:topLinePunct w:val="0"/>
        <w:bidi w:val="0"/>
        <w:adjustRightInd/>
        <w:snapToGrid/>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《应急预案》包含水源突发环境事件应急预案、水源地风险评估报告、水源地应急防控体系建设报告、突发环境事件风险源名录等内容。</w:t>
      </w:r>
    </w:p>
    <w:p>
      <w:pPr>
        <w:keepNext w:val="0"/>
        <w:keepLines w:val="0"/>
        <w:pageBreakBefore w:val="0"/>
        <w:widowControl/>
        <w:kinsoku/>
        <w:wordWrap/>
        <w:overflowPunct/>
        <w:topLinePunct w:val="0"/>
        <w:bidi w:val="0"/>
        <w:adjustRightInd/>
        <w:snapToGrid/>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其中水源突发环境事件应急预案共分为总则、应急组织体系、</w:t>
      </w:r>
      <w:r>
        <w:rPr>
          <w:rFonts w:hint="default" w:ascii="仿宋_GB2312" w:hAnsi="仿宋_GB2312" w:eastAsia="仿宋_GB2312" w:cs="仿宋_GB2312"/>
          <w:b w:val="0"/>
          <w:bCs w:val="0"/>
          <w:kern w:val="2"/>
          <w:sz w:val="32"/>
          <w:szCs w:val="32"/>
          <w:lang w:val="en-US" w:eastAsia="zh-CN" w:bidi="ar-SA"/>
        </w:rPr>
        <w:t>应急响应</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后期工作</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应急保障</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附则</w:t>
      </w:r>
      <w:r>
        <w:rPr>
          <w:rFonts w:hint="eastAsia" w:ascii="仿宋_GB2312" w:hAnsi="仿宋_GB2312" w:eastAsia="仿宋_GB2312" w:cs="仿宋_GB2312"/>
          <w:b w:val="0"/>
          <w:bCs w:val="0"/>
          <w:kern w:val="2"/>
          <w:sz w:val="32"/>
          <w:szCs w:val="32"/>
          <w:lang w:val="en-US" w:eastAsia="zh-CN" w:bidi="ar-SA"/>
        </w:rPr>
        <w:t>等6部分，报告中逐一梳理明确了各部门应对突发环境事件的工作职责、应急流程和任务分工，针对每一个水源地单独编制一个符合各自特点和特定突发环境事件情景的应急响应专章，详细分析了每个水源地面临的不同环境风险及可能发生的突发环境事件情景，并制定了切实有效的应急处置措施，其中《石台县集中式地表水饮用水水源地突发环境事件应急预案》中明确了石台县二水厂饮用水水源地和古潭水库备用水源地的应急响应专章，《石台县乡镇集中式地表水饮用水水源地突发环境事件应急预案》中明确了小河集中供水工程、七都镇六百丈水库、丁香镇张田水库及黄湓河、仙寓镇公信河、大演乡集中供水工程水源地的应急响应专章。</w:t>
      </w:r>
    </w:p>
    <w:p>
      <w:pPr>
        <w:keepNext w:val="0"/>
        <w:keepLines w:val="0"/>
        <w:pageBreakBefore w:val="0"/>
        <w:widowControl/>
        <w:kinsoku/>
        <w:wordWrap/>
        <w:overflowPunct/>
        <w:topLinePunct w:val="0"/>
        <w:bidi w:val="0"/>
        <w:adjustRightInd/>
        <w:snapToGrid/>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水源地风险评估报告主要包含</w:t>
      </w:r>
      <w:r>
        <w:rPr>
          <w:rFonts w:hint="default" w:ascii="仿宋_GB2312" w:hAnsi="仿宋_GB2312" w:eastAsia="仿宋_GB2312" w:cs="仿宋_GB2312"/>
          <w:b w:val="0"/>
          <w:bCs w:val="0"/>
          <w:kern w:val="2"/>
          <w:sz w:val="32"/>
          <w:szCs w:val="32"/>
          <w:lang w:val="en-US" w:eastAsia="zh-CN" w:bidi="ar-SA"/>
        </w:rPr>
        <w:t>水源地基础环境特征调查</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污染源调查与风险评估</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应急资源调查</w:t>
      </w:r>
      <w:r>
        <w:rPr>
          <w:rFonts w:hint="eastAsia" w:ascii="仿宋_GB2312" w:hAnsi="仿宋_GB2312" w:eastAsia="仿宋_GB2312" w:cs="仿宋_GB2312"/>
          <w:b w:val="0"/>
          <w:bCs w:val="0"/>
          <w:kern w:val="2"/>
          <w:sz w:val="32"/>
          <w:szCs w:val="32"/>
          <w:lang w:val="en-US" w:eastAsia="zh-CN" w:bidi="ar-SA"/>
        </w:rPr>
        <w:t>等内容，通过全面调查，掌握和分析行政区域内水源地的风险源信息、可能发生的突发环境事件情景和应急资源状况。</w:t>
      </w:r>
    </w:p>
    <w:p>
      <w:pPr>
        <w:keepNext w:val="0"/>
        <w:keepLines w:val="0"/>
        <w:pageBreakBefore w:val="0"/>
        <w:widowControl/>
        <w:kinsoku/>
        <w:wordWrap/>
        <w:overflowPunct/>
        <w:topLinePunct w:val="0"/>
        <w:bidi w:val="0"/>
        <w:adjustRightInd/>
        <w:snapToGrid/>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水源地应急防控体系建设报告主要包含</w:t>
      </w:r>
      <w:r>
        <w:rPr>
          <w:rFonts w:hint="default" w:ascii="仿宋_GB2312" w:hAnsi="仿宋_GB2312" w:eastAsia="仿宋_GB2312" w:cs="仿宋_GB2312"/>
          <w:b w:val="0"/>
          <w:bCs w:val="0"/>
          <w:kern w:val="2"/>
          <w:sz w:val="32"/>
          <w:szCs w:val="32"/>
          <w:lang w:val="en-US" w:eastAsia="zh-CN" w:bidi="ar-SA"/>
        </w:rPr>
        <w:t>风险源应急防控</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连接水体的应急防控</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取水口的应急防控建设</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完善风险防控应急储备资源</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建立水源地应急保障措施</w:t>
      </w:r>
      <w:r>
        <w:rPr>
          <w:rFonts w:hint="eastAsia" w:ascii="仿宋_GB2312" w:hAnsi="仿宋_GB2312" w:eastAsia="仿宋_GB2312" w:cs="仿宋_GB2312"/>
          <w:b w:val="0"/>
          <w:bCs w:val="0"/>
          <w:kern w:val="2"/>
          <w:sz w:val="32"/>
          <w:szCs w:val="32"/>
          <w:lang w:val="en-US" w:eastAsia="zh-CN" w:bidi="ar-SA"/>
        </w:rPr>
        <w:t>等内容。</w:t>
      </w:r>
    </w:p>
    <w:p>
      <w:pPr>
        <w:keepNext w:val="0"/>
        <w:keepLines w:val="0"/>
        <w:pageBreakBefore w:val="0"/>
        <w:widowControl/>
        <w:kinsoku/>
        <w:wordWrap/>
        <w:overflowPunct/>
        <w:topLinePunct w:val="0"/>
        <w:bidi w:val="0"/>
        <w:adjustRightInd/>
        <w:snapToGrid/>
        <w:spacing w:line="560" w:lineRule="exact"/>
        <w:ind w:firstLine="640" w:firstLineChars="200"/>
        <w:jc w:val="both"/>
        <w:textAlignment w:val="auto"/>
        <w:rPr>
          <w:rFonts w:hint="default"/>
          <w:lang w:val="en-US"/>
        </w:rPr>
      </w:pPr>
      <w:r>
        <w:rPr>
          <w:rFonts w:hint="default" w:ascii="仿宋_GB2312" w:hAnsi="仿宋_GB2312" w:eastAsia="仿宋_GB2312" w:cs="仿宋_GB2312"/>
          <w:b w:val="0"/>
          <w:bCs w:val="0"/>
          <w:kern w:val="2"/>
          <w:sz w:val="32"/>
          <w:szCs w:val="32"/>
          <w:lang w:val="en-US" w:eastAsia="zh-CN" w:bidi="ar-SA"/>
        </w:rPr>
        <w:t>突发环境事件</w:t>
      </w:r>
      <w:r>
        <w:rPr>
          <w:rFonts w:hint="eastAsia" w:ascii="仿宋_GB2312" w:hAnsi="仿宋_GB2312" w:eastAsia="仿宋_GB2312" w:cs="仿宋_GB2312"/>
          <w:b w:val="0"/>
          <w:bCs w:val="0"/>
          <w:kern w:val="2"/>
          <w:sz w:val="32"/>
          <w:szCs w:val="32"/>
          <w:lang w:val="en-US" w:eastAsia="zh-CN" w:bidi="ar-SA"/>
        </w:rPr>
        <w:t>风险源名录主要包含</w:t>
      </w:r>
      <w:r>
        <w:rPr>
          <w:rFonts w:hint="default" w:ascii="仿宋_GB2312" w:hAnsi="仿宋_GB2312" w:eastAsia="仿宋_GB2312" w:cs="仿宋_GB2312"/>
          <w:b w:val="0"/>
          <w:bCs w:val="0"/>
          <w:kern w:val="2"/>
          <w:sz w:val="32"/>
          <w:szCs w:val="32"/>
          <w:lang w:val="en-US" w:eastAsia="zh-CN" w:bidi="ar-SA"/>
        </w:rPr>
        <w:t>风险源汇总分析</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风险源名单</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风险源地图</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水源地风险管理现状与问题梳理</w:t>
      </w:r>
      <w:r>
        <w:rPr>
          <w:rFonts w:hint="eastAsia" w:ascii="仿宋_GB2312" w:hAnsi="仿宋_GB2312" w:eastAsia="仿宋_GB2312" w:cs="仿宋_GB2312"/>
          <w:b w:val="0"/>
          <w:bCs w:val="0"/>
          <w:kern w:val="2"/>
          <w:sz w:val="32"/>
          <w:szCs w:val="32"/>
          <w:lang w:val="en-US" w:eastAsia="zh-CN" w:bidi="ar-SA"/>
        </w:rPr>
        <w:t>等内容。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5DC86"/>
    <w:multiLevelType w:val="singleLevel"/>
    <w:tmpl w:val="4585DC86"/>
    <w:lvl w:ilvl="0" w:tentative="0">
      <w:start w:val="1"/>
      <w:numFmt w:val="bullet"/>
      <w:pStyle w:val="8"/>
      <w:lvlText w:val=""/>
      <w:lvlJc w:val="left"/>
      <w:pPr>
        <w:tabs>
          <w:tab w:val="left" w:pos="2040"/>
        </w:tabs>
        <w:ind w:left="204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4OTQ0ZWYxZDdhNmJlMWUyZDlhODZjZTYyNDM1YzkifQ=="/>
  </w:docVars>
  <w:rsids>
    <w:rsidRoot w:val="5BC0058D"/>
    <w:rsid w:val="008F2EA4"/>
    <w:rsid w:val="00CD08BA"/>
    <w:rsid w:val="05B11635"/>
    <w:rsid w:val="0A9D69C9"/>
    <w:rsid w:val="0BB54022"/>
    <w:rsid w:val="0E2764B6"/>
    <w:rsid w:val="12F52778"/>
    <w:rsid w:val="130F0C4C"/>
    <w:rsid w:val="13772E72"/>
    <w:rsid w:val="1F1A4AC7"/>
    <w:rsid w:val="207B011A"/>
    <w:rsid w:val="234C38A3"/>
    <w:rsid w:val="2593384D"/>
    <w:rsid w:val="2D4F02A6"/>
    <w:rsid w:val="34242F9C"/>
    <w:rsid w:val="36061DD4"/>
    <w:rsid w:val="3C8F03E6"/>
    <w:rsid w:val="3D466330"/>
    <w:rsid w:val="3FDC3209"/>
    <w:rsid w:val="40FD456D"/>
    <w:rsid w:val="46DF3808"/>
    <w:rsid w:val="47093390"/>
    <w:rsid w:val="53AA0440"/>
    <w:rsid w:val="57E9041E"/>
    <w:rsid w:val="584C7EF5"/>
    <w:rsid w:val="5869619A"/>
    <w:rsid w:val="5BC0058D"/>
    <w:rsid w:val="5CCB2910"/>
    <w:rsid w:val="5FC07315"/>
    <w:rsid w:val="61E37E92"/>
    <w:rsid w:val="62F80314"/>
    <w:rsid w:val="665B0BCB"/>
    <w:rsid w:val="685C5A98"/>
    <w:rsid w:val="69910F37"/>
    <w:rsid w:val="743F65C6"/>
    <w:rsid w:val="746D72F6"/>
    <w:rsid w:val="78D24560"/>
    <w:rsid w:val="7BB11A1D"/>
    <w:rsid w:val="7D0252DA"/>
    <w:rsid w:val="7E4E5B6F"/>
    <w:rsid w:val="7E8B7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0"/>
    <w:pPr>
      <w:spacing w:before="100" w:beforeAutospacing="1" w:after="100" w:afterAutospacing="1"/>
      <w:jc w:val="center"/>
      <w:outlineLvl w:val="0"/>
    </w:pPr>
    <w:rPr>
      <w:rFonts w:hint="eastAsia" w:ascii="宋体" w:hAnsi="宋体" w:eastAsia="方正小标宋简体" w:cs="宋体"/>
      <w:b w:val="0"/>
      <w:kern w:val="44"/>
      <w:sz w:val="44"/>
      <w:szCs w:val="48"/>
      <w:lang w:bidi="ar"/>
    </w:rPr>
  </w:style>
  <w:style w:type="paragraph" w:styleId="4">
    <w:name w:val="heading 2"/>
    <w:basedOn w:val="1"/>
    <w:next w:val="1"/>
    <w:semiHidden/>
    <w:unhideWhenUsed/>
    <w:qFormat/>
    <w:uiPriority w:val="0"/>
    <w:pPr>
      <w:keepNext/>
      <w:keepLines/>
      <w:adjustRightInd w:val="0"/>
      <w:spacing w:beforeLines="0" w:beforeAutospacing="0" w:afterLines="0" w:afterAutospacing="0" w:line="560" w:lineRule="exact"/>
      <w:ind w:firstLine="880" w:firstLineChars="200"/>
      <w:outlineLvl w:val="1"/>
    </w:pPr>
    <w:rPr>
      <w:rFonts w:ascii="Arial" w:hAnsi="Arial" w:eastAsia="黑体"/>
    </w:rPr>
  </w:style>
  <w:style w:type="paragraph" w:styleId="5">
    <w:name w:val="heading 4"/>
    <w:basedOn w:val="1"/>
    <w:next w:val="1"/>
    <w:qFormat/>
    <w:uiPriority w:val="1"/>
    <w:pPr>
      <w:spacing w:before="2"/>
      <w:ind w:left="1888"/>
      <w:outlineLvl w:val="3"/>
    </w:pPr>
    <w:rPr>
      <w:b/>
      <w:bCs/>
      <w:sz w:val="24"/>
      <w:szCs w:val="24"/>
    </w:rPr>
  </w:style>
  <w:style w:type="character" w:default="1" w:styleId="11">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6">
    <w:name w:val="Normal Indent"/>
    <w:basedOn w:val="1"/>
    <w:qFormat/>
    <w:uiPriority w:val="0"/>
    <w:pPr>
      <w:widowControl w:val="0"/>
      <w:autoSpaceDE w:val="0"/>
      <w:autoSpaceDN w:val="0"/>
      <w:spacing w:line="300" w:lineRule="auto"/>
      <w:ind w:firstLine="624" w:firstLineChars="0"/>
    </w:pPr>
    <w:rPr>
      <w:rFonts w:ascii="宋体" w:hAnsi="宋体" w:eastAsia="仿宋_GB2312"/>
      <w:spacing w:val="4"/>
      <w:sz w:val="32"/>
      <w:szCs w:val="20"/>
    </w:rPr>
  </w:style>
  <w:style w:type="paragraph" w:styleId="7">
    <w:name w:val="Body Text"/>
    <w:basedOn w:val="1"/>
    <w:next w:val="8"/>
    <w:qFormat/>
    <w:uiPriority w:val="0"/>
    <w:pPr>
      <w:spacing w:after="120" w:afterLines="0"/>
    </w:pPr>
  </w:style>
  <w:style w:type="paragraph" w:styleId="8">
    <w:name w:val="List Bullet 5"/>
    <w:basedOn w:val="1"/>
    <w:qFormat/>
    <w:uiPriority w:val="0"/>
    <w:pPr>
      <w:numPr>
        <w:ilvl w:val="0"/>
        <w:numId w:val="1"/>
      </w:numPr>
    </w:pPr>
  </w:style>
  <w:style w:type="paragraph" w:styleId="9">
    <w:name w:val="toc 2"/>
    <w:basedOn w:val="1"/>
    <w:next w:val="1"/>
    <w:qFormat/>
    <w:uiPriority w:val="39"/>
    <w:pPr>
      <w:ind w:left="420" w:leftChars="200"/>
    </w:pPr>
  </w:style>
  <w:style w:type="character" w:styleId="12">
    <w:name w:val="Strong"/>
    <w:basedOn w:val="11"/>
    <w:qFormat/>
    <w:uiPriority w:val="22"/>
    <w:rPr>
      <w:b/>
      <w:bCs/>
    </w:rPr>
  </w:style>
  <w:style w:type="paragraph" w:styleId="13">
    <w:name w:val="List Paragraph"/>
    <w:basedOn w:val="1"/>
    <w:qFormat/>
    <w:uiPriority w:val="1"/>
    <w:pPr>
      <w:ind w:left="1104" w:hanging="1104"/>
    </w:pPr>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1991</Words>
  <Characters>2014</Characters>
  <Lines>0</Lines>
  <Paragraphs>0</Paragraphs>
  <TotalTime>0</TotalTime>
  <ScaleCrop>false</ScaleCrop>
  <LinksUpToDate>false</LinksUpToDate>
  <CharactersWithSpaces>2014</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2024-04-11T02:06:00Z</dcterms:created>
  <dc:creator>萧韶九重</dc:creator>
  <cp:lastModifiedBy>李艳乔</cp:lastModifiedBy>
  <cp:lastPrinted>2024-11-08T02:29:00Z</cp:lastPrinted>
  <dcterms:modified xsi:type="dcterms:W3CDTF">2025-07-29T07:58:12Z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FCBC9B69F1E04537AEF7A82EB225F61F_13</vt:lpwstr>
  </property>
</Properties>
</file>