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spacing w:line="580" w:lineRule="exact"/>
        <w:jc w:val="center"/>
        <w:rPr>
          <w:rFonts w:hAnsi="方正小标宋简体" w:cs="方正小标宋简体"/>
          <w:b w:val="0"/>
          <w:bCs w:val="0"/>
          <w:sz w:val="44"/>
          <w:szCs w:val="44"/>
        </w:rPr>
      </w:pPr>
      <w:bookmarkStart w:id="0" w:name="_GoBack"/>
      <w:r>
        <w:rPr>
          <w:rFonts w:hint="eastAsia" w:hAnsi="方正小标宋简体" w:cs="方正小标宋简体"/>
          <w:b w:val="0"/>
          <w:bCs w:val="0"/>
          <w:sz w:val="44"/>
          <w:szCs w:val="44"/>
          <w:lang w:eastAsia="zh-CN"/>
        </w:rPr>
        <w:t>关于</w:t>
      </w:r>
      <w:r>
        <w:rPr>
          <w:rFonts w:hint="eastAsia" w:hAnsi="方正小标宋简体" w:cs="方正小标宋简体"/>
          <w:b w:val="0"/>
          <w:bCs w:val="0"/>
          <w:sz w:val="44"/>
          <w:szCs w:val="44"/>
        </w:rPr>
        <w:t>《</w:t>
      </w:r>
      <w:r>
        <w:rPr>
          <w:rFonts w:hint="eastAsia" w:hAnsi="方正小标宋简体" w:cs="方正小标宋简体"/>
          <w:b w:val="0"/>
          <w:bCs w:val="0"/>
          <w:sz w:val="44"/>
          <w:szCs w:val="44"/>
          <w:lang w:val="en-US" w:eastAsia="zh-CN"/>
        </w:rPr>
        <w:t>石台县城区</w:t>
      </w:r>
      <w:r>
        <w:rPr>
          <w:rFonts w:hint="eastAsia" w:hAnsi="方正小标宋简体" w:cs="方正小标宋简体"/>
          <w:b w:val="0"/>
          <w:bCs w:val="0"/>
          <w:sz w:val="44"/>
          <w:szCs w:val="44"/>
        </w:rPr>
        <w:t>声环境功能区划分方案》</w:t>
      </w:r>
      <w:r>
        <w:rPr>
          <w:rFonts w:hint="eastAsia" w:ascii="方正小标宋简体" w:hAnsi="方正小标宋简体" w:eastAsia="方正小标宋简体" w:cs="方正小标宋简体"/>
          <w:b w:val="0"/>
          <w:bCs w:val="0"/>
          <w:sz w:val="44"/>
          <w:szCs w:val="44"/>
          <w:lang w:val="en-US" w:eastAsia="zh-CN"/>
        </w:rPr>
        <w:t>（征求意见稿）说明解读</w:t>
      </w:r>
    </w:p>
    <w:bookmarkEnd w:id="0"/>
    <w:p>
      <w:pPr>
        <w:widowControl/>
        <w:spacing w:line="360" w:lineRule="auto"/>
        <w:jc w:val="left"/>
        <w:rPr>
          <w:rFonts w:ascii="Times New Roman" w:hAnsi="Times New Roman" w:cs="Times New Roman"/>
          <w:sz w:val="28"/>
          <w:szCs w:val="28"/>
        </w:rPr>
      </w:pPr>
    </w:p>
    <w:p>
      <w:pPr>
        <w:pStyle w:val="21"/>
        <w:rPr>
          <w:rFonts w:hAnsi="Times New Roman"/>
        </w:rPr>
      </w:pPr>
      <w:r>
        <w:t>一、</w:t>
      </w:r>
      <w:r>
        <w:rPr>
          <w:rFonts w:hint="eastAsia"/>
          <w:lang w:val="en-US" w:eastAsia="zh-CN"/>
        </w:rPr>
        <w:t>编制</w:t>
      </w:r>
      <w:r>
        <w:t>背景</w:t>
      </w:r>
    </w:p>
    <w:p>
      <w:pPr>
        <w:pStyle w:val="22"/>
        <w:rPr>
          <w:color w:val="0000FF"/>
        </w:rPr>
      </w:pPr>
      <w:r>
        <w:t>为贯彻落实</w:t>
      </w:r>
      <w:r>
        <w:rPr>
          <w:rFonts w:hint="eastAsia"/>
        </w:rPr>
        <w:t>《中华人民共和国环境噪声污染防治法》《关于加强环境噪声污染防治工作改善城乡声环境质量的指导意见》（环发〔2010〕144号）</w:t>
      </w:r>
      <w:r>
        <w:rPr>
          <w:rFonts w:hint="eastAsia"/>
          <w:lang w:val="en-US" w:eastAsia="zh-CN"/>
        </w:rPr>
        <w:t>和《安徽省生态环境厅转发生态环境部办公厅关于全国声环境功能区划分工作进情况的通报》文件精神</w:t>
      </w:r>
      <w:r>
        <w:rPr>
          <w:rFonts w:hint="eastAsia"/>
        </w:rPr>
        <w:t>，加强城乡噪声污染防治工作，改善声环境质量，要求各级县市区按照规划用地性质、用地现状、声环境质量现状，对城市规划区范围进行声环境功能区划分，并明确各功能区的环境质量目标</w:t>
      </w:r>
      <w:r>
        <w:rPr>
          <w:rFonts w:ascii="Times New Roman"/>
        </w:rPr>
        <w:t>。</w:t>
      </w:r>
    </w:p>
    <w:p>
      <w:pPr>
        <w:pStyle w:val="21"/>
        <w:rPr>
          <w:rFonts w:hAnsi="Times New Roman"/>
        </w:rPr>
      </w:pPr>
      <w:r>
        <w:t>二、</w:t>
      </w:r>
      <w:r>
        <w:rPr>
          <w:rFonts w:hint="eastAsia"/>
          <w:lang w:val="en-US" w:eastAsia="zh-CN"/>
        </w:rPr>
        <w:t>编制</w:t>
      </w:r>
      <w:r>
        <w:t>过程</w:t>
      </w:r>
    </w:p>
    <w:p>
      <w:pPr>
        <w:ind w:firstLine="640" w:firstLineChars="200"/>
        <w:rPr>
          <w:rFonts w:ascii="Times New Roman" w:hAnsi="Times New Roman" w:eastAsia="仿宋_GB2312"/>
          <w:sz w:val="32"/>
          <w:szCs w:val="32"/>
        </w:rPr>
      </w:pPr>
      <w:r>
        <w:rPr>
          <w:rFonts w:ascii="Times New Roman" w:hAnsi="Times New Roman" w:eastAsia="仿宋_GB2312"/>
          <w:sz w:val="32"/>
          <w:szCs w:val="32"/>
        </w:rPr>
        <w:t>20</w:t>
      </w:r>
      <w:r>
        <w:rPr>
          <w:rFonts w:hint="eastAsia" w:ascii="Times New Roman" w:hAnsi="Times New Roman" w:eastAsia="仿宋_GB2312"/>
          <w:sz w:val="32"/>
          <w:szCs w:val="32"/>
        </w:rPr>
        <w:t>2</w:t>
      </w:r>
      <w:r>
        <w:rPr>
          <w:rFonts w:hint="eastAsia" w:ascii="Times New Roman" w:hAnsi="Times New Roman" w:eastAsia="仿宋_GB2312"/>
          <w:sz w:val="32"/>
          <w:szCs w:val="32"/>
          <w:lang w:val="en-US" w:eastAsia="zh-CN"/>
        </w:rPr>
        <w:t>2</w:t>
      </w:r>
      <w:r>
        <w:rPr>
          <w:rFonts w:ascii="Times New Roman" w:hAnsi="Times New Roman" w:eastAsia="仿宋_GB2312"/>
          <w:sz w:val="32"/>
          <w:szCs w:val="32"/>
        </w:rPr>
        <w:t>年</w:t>
      </w:r>
      <w:r>
        <w:rPr>
          <w:rFonts w:hint="eastAsia" w:ascii="Times New Roman" w:hAnsi="Times New Roman" w:eastAsia="仿宋_GB2312"/>
          <w:sz w:val="32"/>
          <w:szCs w:val="32"/>
          <w:lang w:val="en-US" w:eastAsia="zh-CN"/>
        </w:rPr>
        <w:t>7</w:t>
      </w:r>
      <w:r>
        <w:rPr>
          <w:rFonts w:ascii="Times New Roman" w:hAnsi="Times New Roman" w:eastAsia="仿宋_GB2312"/>
          <w:sz w:val="32"/>
          <w:szCs w:val="32"/>
        </w:rPr>
        <w:t>月，我局委托</w:t>
      </w:r>
      <w:r>
        <w:rPr>
          <w:rFonts w:hint="eastAsia" w:ascii="Times New Roman" w:hAnsi="Times New Roman" w:eastAsia="仿宋_GB2312"/>
          <w:sz w:val="32"/>
          <w:szCs w:val="32"/>
          <w:lang w:val="en-US" w:eastAsia="zh-CN"/>
        </w:rPr>
        <w:t>安徽绿洲技术服务</w:t>
      </w:r>
      <w:r>
        <w:rPr>
          <w:rFonts w:hint="eastAsia" w:ascii="Times New Roman" w:hAnsi="Times New Roman" w:eastAsia="仿宋_GB2312"/>
          <w:sz w:val="32"/>
          <w:szCs w:val="32"/>
        </w:rPr>
        <w:t>有限公司编制《</w:t>
      </w:r>
      <w:r>
        <w:rPr>
          <w:rFonts w:hint="eastAsia" w:ascii="Times New Roman" w:hAnsi="Times New Roman" w:eastAsia="仿宋_GB2312"/>
          <w:sz w:val="32"/>
          <w:szCs w:val="32"/>
          <w:lang w:eastAsia="zh-CN"/>
        </w:rPr>
        <w:t>石台县</w:t>
      </w:r>
      <w:r>
        <w:rPr>
          <w:rFonts w:hint="eastAsia" w:ascii="Times New Roman" w:hAnsi="Times New Roman" w:eastAsia="仿宋_GB2312"/>
          <w:sz w:val="32"/>
          <w:szCs w:val="32"/>
        </w:rPr>
        <w:t>中心城区声环境功能区划分方案》</w:t>
      </w:r>
      <w:r>
        <w:rPr>
          <w:rFonts w:ascii="Times New Roman" w:hAnsi="Times New Roman" w:eastAsia="仿宋_GB2312"/>
          <w:sz w:val="32"/>
          <w:szCs w:val="32"/>
        </w:rPr>
        <w:t>，编制单位</w:t>
      </w:r>
      <w:r>
        <w:rPr>
          <w:rFonts w:hint="eastAsia" w:ascii="Times New Roman" w:hAnsi="Times New Roman" w:eastAsia="仿宋_GB2312"/>
          <w:sz w:val="32"/>
          <w:szCs w:val="32"/>
          <w:lang w:val="en-US" w:eastAsia="zh-CN"/>
        </w:rPr>
        <w:t>依据</w:t>
      </w:r>
      <w:r>
        <w:rPr>
          <w:rFonts w:hint="eastAsia" w:ascii="仿宋_GB2312" w:hAnsi="仿宋_GB2312" w:eastAsia="仿宋_GB2312" w:cs="仿宋_GB2312"/>
          <w:caps w:val="0"/>
          <w:smallCaps w:val="0"/>
          <w:color w:val="auto"/>
          <w:spacing w:val="0"/>
          <w:sz w:val="32"/>
          <w:szCs w:val="32"/>
          <w:lang w:val="en-US" w:eastAsia="zh-CN"/>
        </w:rPr>
        <w:t>《</w:t>
      </w:r>
      <w:r>
        <w:rPr>
          <w:rFonts w:hint="eastAsia" w:ascii="仿宋_GB2312" w:hAnsi="仿宋_GB2312" w:eastAsia="仿宋_GB2312" w:cs="仿宋_GB2312"/>
          <w:caps w:val="0"/>
          <w:smallCaps w:val="0"/>
          <w:color w:val="auto"/>
          <w:spacing w:val="0"/>
          <w:sz w:val="32"/>
          <w:szCs w:val="32"/>
        </w:rPr>
        <w:t>池州市石台县城总体规划（2015-2030年）</w:t>
      </w:r>
      <w:r>
        <w:rPr>
          <w:rFonts w:hint="eastAsia" w:ascii="仿宋_GB2312" w:hAnsi="仿宋_GB2312" w:eastAsia="仿宋_GB2312" w:cs="仿宋_GB2312"/>
          <w:caps w:val="0"/>
          <w:smallCaps w:val="0"/>
          <w:color w:val="auto"/>
          <w:spacing w:val="0"/>
          <w:sz w:val="32"/>
          <w:szCs w:val="32"/>
          <w:lang w:val="en-US" w:eastAsia="zh-CN"/>
        </w:rPr>
        <w:t>》，</w:t>
      </w:r>
      <w:r>
        <w:rPr>
          <w:rFonts w:hint="eastAsia" w:ascii="Times New Roman" w:hAnsi="Times New Roman" w:eastAsia="仿宋_GB2312"/>
          <w:sz w:val="32"/>
          <w:szCs w:val="32"/>
        </w:rPr>
        <w:t>实地调研了</w:t>
      </w:r>
      <w:r>
        <w:rPr>
          <w:rFonts w:hint="eastAsia" w:ascii="Times New Roman" w:hAnsi="Times New Roman" w:eastAsia="仿宋_GB2312"/>
          <w:sz w:val="32"/>
          <w:szCs w:val="32"/>
          <w:lang w:eastAsia="zh-CN"/>
        </w:rPr>
        <w:t>石台县</w:t>
      </w:r>
      <w:r>
        <w:rPr>
          <w:rFonts w:hint="eastAsia" w:ascii="Times New Roman" w:hAnsi="Times New Roman" w:eastAsia="仿宋_GB2312"/>
          <w:sz w:val="32"/>
          <w:szCs w:val="32"/>
        </w:rPr>
        <w:t>用地现状，研究用地性质及规划，调查了</w:t>
      </w:r>
      <w:r>
        <w:rPr>
          <w:rFonts w:hint="eastAsia" w:ascii="Times New Roman" w:hAnsi="Times New Roman" w:eastAsia="仿宋_GB2312"/>
          <w:sz w:val="32"/>
          <w:szCs w:val="32"/>
          <w:lang w:eastAsia="zh-CN"/>
        </w:rPr>
        <w:t>石台县</w:t>
      </w:r>
      <w:r>
        <w:rPr>
          <w:rFonts w:hint="eastAsia" w:ascii="Times New Roman" w:hAnsi="Times New Roman" w:eastAsia="仿宋_GB2312"/>
          <w:sz w:val="32"/>
          <w:szCs w:val="32"/>
        </w:rPr>
        <w:t>交通干线实际情况，根据法律法规和政策标准要求完成了《方案》及编制说明的</w:t>
      </w:r>
      <w:r>
        <w:rPr>
          <w:rFonts w:hint="eastAsia" w:ascii="仿宋_GB2312" w:hAnsi="仿宋_GB2312" w:eastAsia="仿宋_GB2312" w:cs="仿宋_GB2312"/>
          <w:sz w:val="32"/>
          <w:szCs w:val="32"/>
        </w:rPr>
        <w:t>编制，</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下</w:t>
      </w:r>
      <w:r>
        <w:rPr>
          <w:rFonts w:hint="eastAsia" w:ascii="仿宋_GB2312" w:hAnsi="仿宋_GB2312" w:eastAsia="仿宋_GB2312" w:cs="仿宋_GB2312"/>
          <w:sz w:val="32"/>
          <w:szCs w:val="32"/>
        </w:rPr>
        <w:t>旬完成了方案专家评审</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针对修改意见，编制单位逐条研究，经修改完善后形成《方案》</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于</w:t>
      </w:r>
      <w:r>
        <w:rPr>
          <w:rFonts w:hint="eastAsia" w:ascii="仿宋_GB2312" w:hAnsi="仿宋_GB2312" w:eastAsia="仿宋_GB2312" w:cs="仿宋_GB2312"/>
          <w:sz w:val="32"/>
          <w:szCs w:val="32"/>
          <w:lang w:val="en-US" w:eastAsia="zh-CN"/>
        </w:rPr>
        <w:t>10月上旬</w:t>
      </w:r>
      <w:r>
        <w:rPr>
          <w:rFonts w:hint="eastAsia" w:ascii="仿宋_GB2312" w:hAnsi="仿宋_GB2312" w:eastAsia="仿宋_GB2312" w:cs="仿宋_GB2312"/>
          <w:sz w:val="32"/>
          <w:szCs w:val="32"/>
        </w:rPr>
        <w:t>发文征求相关部门</w:t>
      </w:r>
      <w:r>
        <w:rPr>
          <w:rFonts w:hint="eastAsia" w:ascii="Times New Roman" w:hAnsi="Times New Roman" w:eastAsia="仿宋_GB2312"/>
          <w:sz w:val="32"/>
          <w:szCs w:val="32"/>
        </w:rPr>
        <w:t>（单位）和公众意见。</w:t>
      </w:r>
    </w:p>
    <w:p>
      <w:pPr>
        <w:pStyle w:val="21"/>
        <w:rPr>
          <w:rFonts w:hAnsi="Times New Roman"/>
        </w:rPr>
      </w:pPr>
      <w:r>
        <w:t>三、</w:t>
      </w:r>
      <w:r>
        <w:rPr>
          <w:rFonts w:hint="eastAsia" w:hAnsi="Times New Roman"/>
          <w:lang w:eastAsia="zh-CN"/>
        </w:rPr>
        <w:t>石台县</w:t>
      </w:r>
      <w:r>
        <w:rPr>
          <w:rFonts w:hint="eastAsia" w:hAnsi="Times New Roman"/>
        </w:rPr>
        <w:t>中心城区声环境功能区划分</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（一）声环境功能区类型</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按区域的使用功能特点和环境质量要求，声环境功能区分为以下五类（见GB3096-2008《声环境质量标准》）： </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0类声环境功能区：指康复疗养区等特别需要安静的区域。 </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1类声环境功能区：指以居民住宅、医疗卫生、文化教育、科研设计、行政办公为主要功能，需要保持安静的区域。 </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2类声环境功能区：指以商业金融、集市贸易为主要功能，或者居住、商业、工业混杂，需要维护住宅安静的区域。 </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3类声环境功能区：指以工业生产、仓储物流为主要功能，需要防止工业噪声对周围环境产生严重影响的区域。 </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4类声环境功能区：指交通干线两侧一定距离之内，需要防止交通噪声对周围环境产生严重影响的区域，包括4a类和4b类两种类型。 </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4a为高速公路、一级公路、二级公路、城市快速路、城市主干路、城市次干路、城市轨道交通（地面段）、内河航道两侧区域。 </w:t>
      </w:r>
    </w:p>
    <w:p>
      <w:pPr>
        <w:keepNext w:val="0"/>
        <w:keepLines w:val="0"/>
        <w:pageBreakBefore w:val="0"/>
        <w:widowControl w:val="0"/>
        <w:kinsoku/>
        <w:wordWrap/>
        <w:overflowPunct/>
        <w:topLinePunct w:val="0"/>
        <w:autoSpaceDE/>
        <w:autoSpaceDN/>
        <w:bidi w:val="0"/>
        <w:adjustRightInd/>
        <w:snapToGrid/>
        <w:spacing w:line="480" w:lineRule="atLeas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4b类为铁路干线两侧区域。</w:t>
      </w:r>
    </w:p>
    <w:p>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eastAsia"/>
          <w:lang w:eastAsia="zh-CN"/>
        </w:rPr>
      </w:pPr>
      <w:r>
        <w:rPr>
          <w:rFonts w:hint="eastAsia" w:ascii="仿宋_GB2312" w:hAnsi="仿宋_GB2312" w:eastAsia="仿宋_GB2312" w:cs="仿宋_GB2312"/>
          <w:b/>
          <w:bCs/>
          <w:sz w:val="32"/>
          <w:szCs w:val="32"/>
          <w:lang w:val="en-US" w:eastAsia="zh-CN"/>
        </w:rPr>
        <w:t>（二）声环境功能区划分方案</w:t>
      </w:r>
    </w:p>
    <w:p>
      <w:pPr>
        <w:pStyle w:val="22"/>
        <w:ind w:left="0" w:leftChars="0" w:firstLine="640" w:firstLineChars="200"/>
      </w:pPr>
      <w:r>
        <w:rPr>
          <w:rFonts w:hint="eastAsia"/>
          <w:lang w:eastAsia="zh-CN"/>
        </w:rPr>
        <w:t>石台县</w:t>
      </w:r>
      <w:r>
        <w:rPr>
          <w:rFonts w:hint="eastAsia"/>
        </w:rPr>
        <w:t>中心城区划分</w:t>
      </w:r>
      <w:r>
        <w:rPr>
          <w:rFonts w:hint="eastAsia"/>
          <w:lang w:val="en-US" w:eastAsia="zh-CN"/>
        </w:rPr>
        <w:t>4</w:t>
      </w:r>
      <w:r>
        <w:rPr>
          <w:rFonts w:hint="eastAsia"/>
        </w:rPr>
        <w:t>大类</w:t>
      </w:r>
      <w:r>
        <w:rPr>
          <w:rFonts w:hint="eastAsia"/>
          <w:lang w:val="en-US" w:eastAsia="zh-CN"/>
        </w:rPr>
        <w:t>6</w:t>
      </w:r>
      <w:r>
        <w:rPr>
          <w:rFonts w:hint="eastAsia"/>
        </w:rPr>
        <w:t>个声环境功能区，面积共计</w:t>
      </w:r>
      <w:r>
        <w:rPr>
          <w:rFonts w:hint="eastAsia"/>
          <w:lang w:val="en-US" w:eastAsia="zh-CN"/>
        </w:rPr>
        <w:t>4.9646</w:t>
      </w:r>
      <w:r>
        <w:rPr>
          <w:rFonts w:hint="eastAsia"/>
        </w:rPr>
        <w:t>平方公里</w:t>
      </w:r>
      <w:r>
        <w:rPr>
          <w:rFonts w:hint="eastAsia"/>
          <w:lang w:eastAsia="zh-CN"/>
        </w:rPr>
        <w:t>，</w:t>
      </w:r>
      <w:r>
        <w:rPr>
          <w:rFonts w:hint="eastAsia"/>
        </w:rPr>
        <w:t>以及2</w:t>
      </w:r>
      <w:r>
        <w:rPr>
          <w:rFonts w:hint="eastAsia"/>
          <w:lang w:val="en-US" w:eastAsia="zh-CN"/>
        </w:rPr>
        <w:t>1</w:t>
      </w:r>
      <w:r>
        <w:rPr>
          <w:rFonts w:hint="eastAsia"/>
        </w:rPr>
        <w:t>条交通干线长度共计</w:t>
      </w:r>
      <w:r>
        <w:rPr>
          <w:rFonts w:hint="eastAsia"/>
          <w:lang w:val="en-US" w:eastAsia="zh-CN"/>
        </w:rPr>
        <w:t>18.95</w:t>
      </w:r>
      <w:r>
        <w:rPr>
          <w:rFonts w:hint="eastAsia"/>
        </w:rPr>
        <w:t>公里。</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（1）1类声环境功能区划分结果</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1类区面积为2.2496平方公里，占总区划面积的45.31%，包括蓬莱路--马鞍山路--秋浦路环绕区域、城东路--滨河大道--掘珠路--迎宾路环绕区域、掘珠路--滨河大道--贡溪路环绕区域三个单元。</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（2）2类声环境功能区划分结果</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2类区面积为2.0275平方公里，占总区划面积的40.84%，包括老城区所有区域（划分为3类功能区域的除外）、六房片区（秋浦路以东、秋浦河以西区域）两个区划单元。</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default"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（3）3类声环境功能区划分结果</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default"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3类区面积为0.0222平方公里，占总区划面积的0.45%，包括仪表路--和平南路--红凌环绕区域一个单元。</w:t>
      </w:r>
    </w:p>
    <w:p>
      <w:pPr>
        <w:keepNext w:val="0"/>
        <w:keepLines w:val="0"/>
        <w:pageBreakBefore w:val="0"/>
        <w:widowControl/>
        <w:suppressLineNumbers w:val="0"/>
        <w:kinsoku/>
        <w:wordWrap/>
        <w:overflowPunct/>
        <w:topLinePunct w:val="0"/>
        <w:autoSpaceDE/>
        <w:autoSpaceDN/>
        <w:bidi w:val="0"/>
        <w:adjustRightInd/>
        <w:snapToGrid/>
        <w:ind w:firstLine="640" w:firstLineChars="200"/>
        <w:jc w:val="both"/>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（4）4a类声环境功能区划分结果</w:t>
      </w:r>
    </w:p>
    <w:p>
      <w:pPr>
        <w:pStyle w:val="22"/>
        <w:keepNext w:val="0"/>
        <w:keepLines w:val="0"/>
        <w:pageBreakBefore w:val="0"/>
        <w:widowControl/>
        <w:kinsoku/>
        <w:wordWrap/>
        <w:overflowPunct/>
        <w:topLinePunct w:val="0"/>
        <w:autoSpaceDE/>
        <w:autoSpaceDN/>
        <w:bidi w:val="0"/>
        <w:adjustRightInd/>
        <w:snapToGrid/>
        <w:ind w:firstLine="640" w:firstLineChars="200"/>
        <w:textAlignment w:val="auto"/>
        <w:rPr>
          <w:rFonts w:hint="eastAsia" w:ascii="仿宋_GB2312" w:hAnsi="Times New Roman" w:eastAsia="仿宋_GB2312" w:cs="Times New Roman"/>
          <w:color w:val="auto"/>
          <w:kern w:val="2"/>
          <w:sz w:val="44"/>
          <w:szCs w:val="44"/>
          <w:lang w:val="en-US" w:eastAsia="zh-CN" w:bidi="ar-SA"/>
        </w:rPr>
      </w:pPr>
      <w:r>
        <w:rPr>
          <w:rFonts w:hint="eastAsia" w:ascii="仿宋_GB2312" w:hAnsi="Times New Roman" w:eastAsia="仿宋_GB2312" w:cs="Times New Roman"/>
          <w:color w:val="auto"/>
          <w:kern w:val="2"/>
          <w:sz w:val="32"/>
          <w:szCs w:val="32"/>
          <w:lang w:val="en-US" w:eastAsia="zh-CN" w:bidi="ar-SA"/>
        </w:rPr>
        <w:t>主次干路、过境道路及两侧区域（相邻区域为1类声环境功能区域，距离为50m；相邻区域为2类声环境功能区域，距离为35m。</w:t>
      </w:r>
      <w:r>
        <w:rPr>
          <w:rFonts w:hint="eastAsia"/>
          <w:lang w:val="en-US" w:eastAsia="zh-CN"/>
        </w:rPr>
        <w:t>面积为</w:t>
      </w:r>
      <w:r>
        <w:rPr>
          <w:rFonts w:hint="eastAsia" w:ascii="仿宋_GB2312" w:hAnsi="Times New Roman" w:eastAsia="仿宋_GB2312" w:cs="Times New Roman"/>
          <w:color w:val="auto"/>
          <w:kern w:val="2"/>
          <w:sz w:val="32"/>
          <w:szCs w:val="32"/>
          <w:lang w:val="en-US" w:eastAsia="zh-CN" w:bidi="ar-SA"/>
        </w:rPr>
        <w:t>0.6653</w:t>
      </w:r>
      <w:r>
        <w:rPr>
          <w:rFonts w:hint="eastAsia"/>
        </w:rPr>
        <w:t>平方公里</w:t>
      </w:r>
      <w:r>
        <w:rPr>
          <w:rFonts w:hint="eastAsia"/>
          <w:lang w:eastAsia="zh-CN"/>
        </w:rPr>
        <w:t>，</w:t>
      </w:r>
      <w:r>
        <w:rPr>
          <w:rFonts w:hint="eastAsia"/>
        </w:rPr>
        <w:t>占总区划面积的</w:t>
      </w:r>
      <w:r>
        <w:rPr>
          <w:rFonts w:hint="eastAsia"/>
          <w:lang w:val="en-US" w:eastAsia="zh-CN"/>
        </w:rPr>
        <w:t>13.4</w:t>
      </w:r>
      <w:r>
        <w:rPr>
          <w:rFonts w:hint="eastAsia"/>
        </w:rPr>
        <w:t>%</w:t>
      </w:r>
      <w:r>
        <w:rPr>
          <w:rFonts w:hint="eastAsia"/>
          <w:lang w:eastAsia="zh-CN"/>
        </w:rPr>
        <w:t>。</w:t>
      </w:r>
    </w:p>
    <w:p>
      <w:pPr>
        <w:ind w:firstLine="640" w:firstLineChars="200"/>
        <w:rPr>
          <w:rFonts w:ascii="仿宋_GB2312" w:hAnsi="Times New Roman" w:eastAsia="仿宋_GB2312" w:cs="Times New Roman"/>
          <w:color w:val="000000" w:themeColor="text1"/>
          <w:sz w:val="32"/>
          <w:szCs w:val="32"/>
          <w14:textFill>
            <w14:solidFill>
              <w14:schemeClr w14:val="tx1"/>
            </w14:solidFill>
          </w14:textFill>
        </w:rPr>
      </w:pPr>
      <w:r>
        <w:rPr>
          <w:rFonts w:ascii="仿宋_GB2312" w:hAnsi="Times New Roman" w:eastAsia="仿宋_GB2312" w:cs="Times New Roman"/>
          <w:color w:val="000000" w:themeColor="text1"/>
          <w:sz w:val="32"/>
          <w:szCs w:val="32"/>
          <w14:textFill>
            <w14:solidFill>
              <w14:schemeClr w14:val="tx1"/>
            </w14:solidFill>
          </w14:textFill>
        </w:rPr>
        <w:t>根据《声环境质量标准》</w:t>
      </w:r>
      <w:r>
        <w:rPr>
          <w:rFonts w:hint="eastAsia" w:ascii="仿宋_GB2312" w:hAnsi="Times New Roman" w:eastAsia="仿宋_GB2312" w:cs="Times New Roman"/>
          <w:color w:val="000000" w:themeColor="text1"/>
          <w:sz w:val="32"/>
          <w:szCs w:val="32"/>
          <w14:textFill>
            <w14:solidFill>
              <w14:schemeClr w14:val="tx1"/>
            </w14:solidFill>
          </w14:textFill>
        </w:rPr>
        <w:t>（</w:t>
      </w:r>
      <w:r>
        <w:rPr>
          <w:rFonts w:ascii="仿宋_GB2312" w:hAnsi="Times New Roman" w:eastAsia="仿宋_GB2312" w:cs="Times New Roman"/>
          <w:color w:val="000000" w:themeColor="text1"/>
          <w:sz w:val="32"/>
          <w:szCs w:val="32"/>
          <w14:textFill>
            <w14:solidFill>
              <w14:schemeClr w14:val="tx1"/>
            </w14:solidFill>
          </w14:textFill>
        </w:rPr>
        <w:t>GB3096-2008</w:t>
      </w:r>
      <w:r>
        <w:rPr>
          <w:rFonts w:hint="eastAsia" w:ascii="仿宋_GB2312" w:hAnsi="Times New Roman" w:eastAsia="仿宋_GB2312" w:cs="Times New Roman"/>
          <w:color w:val="000000" w:themeColor="text1"/>
          <w:sz w:val="32"/>
          <w:szCs w:val="32"/>
          <w14:textFill>
            <w14:solidFill>
              <w14:schemeClr w14:val="tx1"/>
            </w14:solidFill>
          </w14:textFill>
        </w:rPr>
        <w:t>）</w:t>
      </w:r>
      <w:r>
        <w:rPr>
          <w:rFonts w:ascii="仿宋_GB2312" w:hAnsi="Times New Roman" w:eastAsia="仿宋_GB2312" w:cs="Times New Roman"/>
          <w:color w:val="000000" w:themeColor="text1"/>
          <w:sz w:val="32"/>
          <w:szCs w:val="32"/>
          <w14:textFill>
            <w14:solidFill>
              <w14:schemeClr w14:val="tx1"/>
            </w14:solidFill>
          </w14:textFill>
        </w:rPr>
        <w:t>的规定，0类、1类、2类、3类和4类区标准限值见下表1。</w:t>
      </w:r>
    </w:p>
    <w:p>
      <w:pPr>
        <w:pStyle w:val="2"/>
      </w:pPr>
    </w:p>
    <w:p>
      <w:pPr>
        <w:jc w:val="center"/>
        <w:rPr>
          <w:b/>
          <w:sz w:val="24"/>
        </w:rPr>
      </w:pPr>
      <w:r>
        <w:rPr>
          <w:b/>
          <w:sz w:val="24"/>
        </w:rPr>
        <w:t>表1  环境噪声限值单位：dB（A）</w:t>
      </w:r>
    </w:p>
    <w:tbl>
      <w:tblPr>
        <w:tblStyle w:val="12"/>
        <w:tblW w:w="7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8"/>
        <w:gridCol w:w="1124"/>
        <w:gridCol w:w="2600"/>
        <w:gridCol w:w="26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612" w:type="dxa"/>
            <w:gridSpan w:val="2"/>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声环境功能区类别</w:t>
            </w:r>
          </w:p>
        </w:tc>
        <w:tc>
          <w:tcPr>
            <w:tcW w:w="2600"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昼间</w:t>
            </w:r>
          </w:p>
        </w:tc>
        <w:tc>
          <w:tcPr>
            <w:tcW w:w="2682"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夜间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612" w:type="dxa"/>
            <w:gridSpan w:val="2"/>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0类</w:t>
            </w:r>
          </w:p>
        </w:tc>
        <w:tc>
          <w:tcPr>
            <w:tcW w:w="2600"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50</w:t>
            </w:r>
          </w:p>
        </w:tc>
        <w:tc>
          <w:tcPr>
            <w:tcW w:w="2682"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612" w:type="dxa"/>
            <w:gridSpan w:val="2"/>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1类</w:t>
            </w:r>
          </w:p>
        </w:tc>
        <w:tc>
          <w:tcPr>
            <w:tcW w:w="2600"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55</w:t>
            </w:r>
          </w:p>
        </w:tc>
        <w:tc>
          <w:tcPr>
            <w:tcW w:w="2682"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612" w:type="dxa"/>
            <w:gridSpan w:val="2"/>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2类</w:t>
            </w:r>
          </w:p>
        </w:tc>
        <w:tc>
          <w:tcPr>
            <w:tcW w:w="2600"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60</w:t>
            </w:r>
          </w:p>
        </w:tc>
        <w:tc>
          <w:tcPr>
            <w:tcW w:w="2682"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612" w:type="dxa"/>
            <w:gridSpan w:val="2"/>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3类</w:t>
            </w:r>
          </w:p>
        </w:tc>
        <w:tc>
          <w:tcPr>
            <w:tcW w:w="2600"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65</w:t>
            </w:r>
          </w:p>
        </w:tc>
        <w:tc>
          <w:tcPr>
            <w:tcW w:w="2682"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1488" w:type="dxa"/>
            <w:vMerge w:val="restart"/>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4类</w:t>
            </w:r>
          </w:p>
        </w:tc>
        <w:tc>
          <w:tcPr>
            <w:tcW w:w="1124"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4a类</w:t>
            </w:r>
          </w:p>
        </w:tc>
        <w:tc>
          <w:tcPr>
            <w:tcW w:w="2600"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70</w:t>
            </w:r>
          </w:p>
        </w:tc>
        <w:tc>
          <w:tcPr>
            <w:tcW w:w="2682"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1488" w:type="dxa"/>
            <w:vMerge w:val="continue"/>
            <w:vAlign w:val="center"/>
          </w:tcPr>
          <w:p>
            <w:pPr>
              <w:autoSpaceDE w:val="0"/>
              <w:autoSpaceDN w:val="0"/>
              <w:jc w:val="center"/>
              <w:rPr>
                <w:rFonts w:hint="default" w:ascii="Times New Roman" w:hAnsi="Times New Roman" w:cs="Times New Roman"/>
                <w:kern w:val="0"/>
                <w:szCs w:val="21"/>
              </w:rPr>
            </w:pPr>
          </w:p>
        </w:tc>
        <w:tc>
          <w:tcPr>
            <w:tcW w:w="1124"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4b类</w:t>
            </w:r>
          </w:p>
        </w:tc>
        <w:tc>
          <w:tcPr>
            <w:tcW w:w="2600"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70</w:t>
            </w:r>
          </w:p>
        </w:tc>
        <w:tc>
          <w:tcPr>
            <w:tcW w:w="2682" w:type="dxa"/>
            <w:vAlign w:val="center"/>
          </w:tcPr>
          <w:p>
            <w:pPr>
              <w:autoSpaceDE w:val="0"/>
              <w:autoSpaceDN w:val="0"/>
              <w:jc w:val="center"/>
              <w:rPr>
                <w:rFonts w:hint="default" w:ascii="Times New Roman" w:hAnsi="Times New Roman" w:cs="Times New Roman"/>
                <w:kern w:val="0"/>
                <w:szCs w:val="21"/>
              </w:rPr>
            </w:pPr>
            <w:r>
              <w:rPr>
                <w:rFonts w:hint="default" w:ascii="Times New Roman" w:hAnsi="Times New Roman" w:cs="Times New Roman"/>
                <w:kern w:val="0"/>
                <w:szCs w:val="21"/>
              </w:rPr>
              <w:t>60</w:t>
            </w:r>
          </w:p>
        </w:tc>
      </w:tr>
    </w:tbl>
    <w:p>
      <w:pPr>
        <w:pStyle w:val="22"/>
        <w:ind w:left="0" w:leftChars="0" w:firstLine="480" w:firstLineChars="200"/>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0"/>
          <w:sz w:val="24"/>
          <w:szCs w:val="24"/>
          <w:lang w:val="en-US" w:eastAsia="zh-CN" w:bidi="ar-SA"/>
        </w:rPr>
        <w:t>备注：昼间是指6:00至22:00之间的时段，夜间是指22:00至次日6:00之间的时段。</w:t>
      </w:r>
    </w:p>
    <w:p>
      <w:pPr>
        <w:pStyle w:val="22"/>
        <w:keepNext w:val="0"/>
        <w:keepLines w:val="0"/>
        <w:pageBreakBefore w:val="0"/>
        <w:widowControl/>
        <w:kinsoku/>
        <w:wordWrap/>
        <w:overflowPunct/>
        <w:topLinePunct w:val="0"/>
        <w:autoSpaceDE/>
        <w:autoSpaceDN/>
        <w:bidi w:val="0"/>
        <w:adjustRightInd/>
        <w:snapToGrid/>
        <w:ind w:firstLine="640" w:firstLineChars="200"/>
        <w:textAlignment w:val="auto"/>
        <w:rPr>
          <w:rFonts w:hint="eastAsia" w:ascii="仿宋_GB2312" w:hAnsi="Times New Roman" w:eastAsia="仿宋_GB2312" w:cs="Times New Roman"/>
          <w:color w:val="auto"/>
          <w:kern w:val="2"/>
          <w:sz w:val="32"/>
          <w:szCs w:val="32"/>
          <w:lang w:val="en-US" w:eastAsia="zh-CN" w:bidi="ar-SA"/>
        </w:rPr>
      </w:pPr>
      <w:r>
        <w:rPr>
          <w:rFonts w:hint="eastAsia" w:ascii="仿宋_GB2312" w:hAnsi="Times New Roman" w:eastAsia="仿宋_GB2312" w:cs="Times New Roman"/>
          <w:color w:val="auto"/>
          <w:kern w:val="2"/>
          <w:sz w:val="32"/>
          <w:szCs w:val="32"/>
          <w:lang w:val="en-US" w:eastAsia="zh-CN" w:bidi="ar-SA"/>
        </w:rPr>
        <w:t>声环境功能区的划定将作为石台县加强环境噪声污染防治、强化噪声源监督管理和环境执法的重要依据和手段，为县环境噪声管理工作起重要的指导作用，促进中心城区声环境质量的持续改善</w:t>
      </w:r>
      <w:r>
        <w:rPr>
          <w:rFonts w:hint="eastAsia" w:ascii="仿宋_GB2312" w:hAnsi="Times New Roman" w:eastAsia="仿宋_GB2312" w:cs="Times New Roman"/>
          <w:color w:val="auto"/>
          <w:kern w:val="2"/>
          <w:sz w:val="32"/>
          <w:szCs w:val="32"/>
          <w:lang w:val="zh-CN" w:eastAsia="zh-CN" w:bidi="ar-SA"/>
        </w:rPr>
        <w:t>。</w:t>
      </w:r>
    </w:p>
    <w:p>
      <w:pPr>
        <w:rPr>
          <w:rFonts w:ascii="Times New Roman" w:hAnsi="Times New Roman" w:eastAsia="仿宋_GB2312"/>
          <w:sz w:val="32"/>
          <w:szCs w:val="32"/>
        </w:rPr>
      </w:pPr>
    </w:p>
    <w:p>
      <w:pPr>
        <w:ind w:firstLine="640" w:firstLineChars="200"/>
        <w:rPr>
          <w:rFonts w:hint="eastAsia" w:ascii="Times New Roman" w:hAnsi="Times New Roman" w:eastAsia="仿宋_GB2312"/>
          <w:sz w:val="32"/>
          <w:szCs w:val="32"/>
        </w:rPr>
      </w:pPr>
    </w:p>
    <w:p>
      <w:pPr>
        <w:jc w:val="center"/>
        <w:rPr>
          <w:rFonts w:ascii="楷体_GB2312" w:hAnsi="楷体_GB2312" w:eastAsia="楷体_GB2312" w:cs="楷体_GB2312"/>
          <w:sz w:val="28"/>
          <w:szCs w:val="28"/>
        </w:rPr>
      </w:pPr>
    </w:p>
    <w:sectPr>
      <w:footerReference r:id="rId3" w:type="default"/>
      <w:pgSz w:w="11906" w:h="16838"/>
      <w:pgMar w:top="1440" w:right="1797" w:bottom="1440" w:left="1797" w:header="851" w:footer="992" w:gutter="0"/>
      <w:pgNumType w:fmt="decimal"/>
      <w:cols w:space="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pPr>
                    <w: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AyMTU0ZjZjNmFhNjhhOWRkOTk1ZDY0ZmNkMTFiYmQifQ=="/>
  </w:docVars>
  <w:rsids>
    <w:rsidRoot w:val="00D826F1"/>
    <w:rsid w:val="00032EDB"/>
    <w:rsid w:val="000816D2"/>
    <w:rsid w:val="00090F8A"/>
    <w:rsid w:val="000A1AF8"/>
    <w:rsid w:val="00137E68"/>
    <w:rsid w:val="00150A88"/>
    <w:rsid w:val="00153251"/>
    <w:rsid w:val="00157106"/>
    <w:rsid w:val="00184640"/>
    <w:rsid w:val="001C2FCD"/>
    <w:rsid w:val="001E2DC0"/>
    <w:rsid w:val="001E7552"/>
    <w:rsid w:val="001F15F8"/>
    <w:rsid w:val="00213C20"/>
    <w:rsid w:val="00231309"/>
    <w:rsid w:val="002343AD"/>
    <w:rsid w:val="0023633B"/>
    <w:rsid w:val="00243323"/>
    <w:rsid w:val="00256A89"/>
    <w:rsid w:val="00256CD9"/>
    <w:rsid w:val="00256F2B"/>
    <w:rsid w:val="00280138"/>
    <w:rsid w:val="002B62D2"/>
    <w:rsid w:val="002D0062"/>
    <w:rsid w:val="00315D10"/>
    <w:rsid w:val="00334D62"/>
    <w:rsid w:val="00343036"/>
    <w:rsid w:val="00355602"/>
    <w:rsid w:val="004033DE"/>
    <w:rsid w:val="00415F6F"/>
    <w:rsid w:val="00451D37"/>
    <w:rsid w:val="004579E1"/>
    <w:rsid w:val="00463482"/>
    <w:rsid w:val="004A4869"/>
    <w:rsid w:val="004C149E"/>
    <w:rsid w:val="004C513B"/>
    <w:rsid w:val="004D079E"/>
    <w:rsid w:val="004E6277"/>
    <w:rsid w:val="0051694B"/>
    <w:rsid w:val="0057441C"/>
    <w:rsid w:val="0069479E"/>
    <w:rsid w:val="006C31BA"/>
    <w:rsid w:val="006E2C26"/>
    <w:rsid w:val="006F330D"/>
    <w:rsid w:val="00706D95"/>
    <w:rsid w:val="00712DCB"/>
    <w:rsid w:val="00735D19"/>
    <w:rsid w:val="0079582B"/>
    <w:rsid w:val="007C2792"/>
    <w:rsid w:val="007E3BF8"/>
    <w:rsid w:val="007F08A9"/>
    <w:rsid w:val="007F0A1D"/>
    <w:rsid w:val="0081698A"/>
    <w:rsid w:val="008366F7"/>
    <w:rsid w:val="00845C9C"/>
    <w:rsid w:val="008A039D"/>
    <w:rsid w:val="008C0A94"/>
    <w:rsid w:val="008C3AD4"/>
    <w:rsid w:val="008D0050"/>
    <w:rsid w:val="009267A2"/>
    <w:rsid w:val="00952551"/>
    <w:rsid w:val="00955E8E"/>
    <w:rsid w:val="00995F99"/>
    <w:rsid w:val="009B02EB"/>
    <w:rsid w:val="00A33A41"/>
    <w:rsid w:val="00A33A7F"/>
    <w:rsid w:val="00A4523C"/>
    <w:rsid w:val="00A67D57"/>
    <w:rsid w:val="00A71423"/>
    <w:rsid w:val="00A72049"/>
    <w:rsid w:val="00AB2E7E"/>
    <w:rsid w:val="00B20EBC"/>
    <w:rsid w:val="00B31CCD"/>
    <w:rsid w:val="00B353B6"/>
    <w:rsid w:val="00BC2F3C"/>
    <w:rsid w:val="00C16380"/>
    <w:rsid w:val="00C21FD5"/>
    <w:rsid w:val="00C2777E"/>
    <w:rsid w:val="00C61F82"/>
    <w:rsid w:val="00C84E66"/>
    <w:rsid w:val="00C90456"/>
    <w:rsid w:val="00CA1FAF"/>
    <w:rsid w:val="00CB4A98"/>
    <w:rsid w:val="00CD61E3"/>
    <w:rsid w:val="00CE6970"/>
    <w:rsid w:val="00CE7308"/>
    <w:rsid w:val="00CE787B"/>
    <w:rsid w:val="00CF4CEF"/>
    <w:rsid w:val="00D05A8D"/>
    <w:rsid w:val="00D36AB0"/>
    <w:rsid w:val="00D41932"/>
    <w:rsid w:val="00D625A8"/>
    <w:rsid w:val="00D826F1"/>
    <w:rsid w:val="00D96B3F"/>
    <w:rsid w:val="00D977DD"/>
    <w:rsid w:val="00E010C6"/>
    <w:rsid w:val="00E023EA"/>
    <w:rsid w:val="00E277D9"/>
    <w:rsid w:val="00E40333"/>
    <w:rsid w:val="00EA6E55"/>
    <w:rsid w:val="00EC3DD1"/>
    <w:rsid w:val="00F02AD9"/>
    <w:rsid w:val="00F2336B"/>
    <w:rsid w:val="00F319CD"/>
    <w:rsid w:val="00F67EF2"/>
    <w:rsid w:val="00F738CF"/>
    <w:rsid w:val="00F83EFD"/>
    <w:rsid w:val="00FB709D"/>
    <w:rsid w:val="00FC4DE7"/>
    <w:rsid w:val="020411DA"/>
    <w:rsid w:val="022B570E"/>
    <w:rsid w:val="037B5C2D"/>
    <w:rsid w:val="04227975"/>
    <w:rsid w:val="05216546"/>
    <w:rsid w:val="09132327"/>
    <w:rsid w:val="0AC736EC"/>
    <w:rsid w:val="0AD305A7"/>
    <w:rsid w:val="0CEA36A9"/>
    <w:rsid w:val="0D743EDF"/>
    <w:rsid w:val="0F3772EA"/>
    <w:rsid w:val="107009D2"/>
    <w:rsid w:val="115B7F7E"/>
    <w:rsid w:val="1405658B"/>
    <w:rsid w:val="14A316FF"/>
    <w:rsid w:val="14F36524"/>
    <w:rsid w:val="17A702E0"/>
    <w:rsid w:val="18263D8B"/>
    <w:rsid w:val="189A41EE"/>
    <w:rsid w:val="1A6B5E42"/>
    <w:rsid w:val="1D436C02"/>
    <w:rsid w:val="21435D91"/>
    <w:rsid w:val="22313579"/>
    <w:rsid w:val="22DB194C"/>
    <w:rsid w:val="23F5677C"/>
    <w:rsid w:val="27076B08"/>
    <w:rsid w:val="27E95F58"/>
    <w:rsid w:val="28EF50A2"/>
    <w:rsid w:val="299E231A"/>
    <w:rsid w:val="2AD215D6"/>
    <w:rsid w:val="2B435D0C"/>
    <w:rsid w:val="2C4604BD"/>
    <w:rsid w:val="2EE351E2"/>
    <w:rsid w:val="35204B48"/>
    <w:rsid w:val="39C649EB"/>
    <w:rsid w:val="3F9D38CE"/>
    <w:rsid w:val="3FC56B03"/>
    <w:rsid w:val="40632D8F"/>
    <w:rsid w:val="414C5340"/>
    <w:rsid w:val="41642716"/>
    <w:rsid w:val="41F176AE"/>
    <w:rsid w:val="427C38C9"/>
    <w:rsid w:val="43931DE2"/>
    <w:rsid w:val="46C91677"/>
    <w:rsid w:val="4719245E"/>
    <w:rsid w:val="4D331F40"/>
    <w:rsid w:val="4DD23507"/>
    <w:rsid w:val="4F9F4B6A"/>
    <w:rsid w:val="545A732E"/>
    <w:rsid w:val="58DF1789"/>
    <w:rsid w:val="596144FD"/>
    <w:rsid w:val="5BA44364"/>
    <w:rsid w:val="5BB64468"/>
    <w:rsid w:val="5C024C04"/>
    <w:rsid w:val="5DC010E3"/>
    <w:rsid w:val="5FE3478D"/>
    <w:rsid w:val="5FF13CC0"/>
    <w:rsid w:val="606E66A1"/>
    <w:rsid w:val="60C413D5"/>
    <w:rsid w:val="61045C75"/>
    <w:rsid w:val="613F26B1"/>
    <w:rsid w:val="61B03707"/>
    <w:rsid w:val="633345F0"/>
    <w:rsid w:val="636D3784"/>
    <w:rsid w:val="642F4DB7"/>
    <w:rsid w:val="64664551"/>
    <w:rsid w:val="697B681C"/>
    <w:rsid w:val="6C2427F4"/>
    <w:rsid w:val="6D0E4C81"/>
    <w:rsid w:val="6E2E7E8E"/>
    <w:rsid w:val="6F4656AB"/>
    <w:rsid w:val="6FF944CB"/>
    <w:rsid w:val="7006085D"/>
    <w:rsid w:val="718F3546"/>
    <w:rsid w:val="73551AA0"/>
    <w:rsid w:val="76804D81"/>
    <w:rsid w:val="799B236D"/>
    <w:rsid w:val="7AD63319"/>
    <w:rsid w:val="7CDF720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widowControl/>
      <w:jc w:val="center"/>
    </w:pPr>
    <w:rPr>
      <w:rFonts w:cs="宋体"/>
      <w:kern w:val="0"/>
      <w:szCs w:val="20"/>
    </w:rPr>
  </w:style>
  <w:style w:type="paragraph" w:styleId="3">
    <w:name w:val="Normal Indent"/>
    <w:basedOn w:val="1"/>
    <w:semiHidden/>
    <w:unhideWhenUsed/>
    <w:qFormat/>
    <w:uiPriority w:val="99"/>
    <w:pPr>
      <w:adjustRightInd w:val="0"/>
      <w:snapToGrid w:val="0"/>
      <w:spacing w:after="156" w:afterLines="50" w:line="400" w:lineRule="exact"/>
    </w:pPr>
    <w:rPr>
      <w:rFonts w:ascii="宋体" w:hAnsi="宋体"/>
      <w:bCs/>
      <w:sz w:val="28"/>
      <w:szCs w:val="28"/>
    </w:rPr>
  </w:style>
  <w:style w:type="paragraph" w:styleId="4">
    <w:name w:val="annotation text"/>
    <w:basedOn w:val="1"/>
    <w:qFormat/>
    <w:uiPriority w:val="0"/>
    <w:pPr>
      <w:widowControl/>
      <w:jc w:val="left"/>
    </w:pPr>
    <w:rPr>
      <w:rFonts w:cs="宋体"/>
      <w:kern w:val="0"/>
    </w:rPr>
  </w:style>
  <w:style w:type="paragraph" w:styleId="5">
    <w:name w:val="Body Text Indent"/>
    <w:basedOn w:val="1"/>
    <w:next w:val="6"/>
    <w:qFormat/>
    <w:uiPriority w:val="0"/>
    <w:pPr>
      <w:widowControl/>
      <w:spacing w:after="120"/>
      <w:ind w:left="420" w:leftChars="200"/>
      <w:jc w:val="left"/>
    </w:pPr>
    <w:rPr>
      <w:rFonts w:cs="宋体"/>
      <w:kern w:val="0"/>
    </w:rPr>
  </w:style>
  <w:style w:type="paragraph" w:styleId="6">
    <w:name w:val="Body Text Indent 2"/>
    <w:basedOn w:val="1"/>
    <w:next w:val="7"/>
    <w:qFormat/>
    <w:uiPriority w:val="0"/>
    <w:pPr>
      <w:widowControl/>
      <w:spacing w:before="240" w:line="360" w:lineRule="auto"/>
      <w:ind w:firstLine="576"/>
      <w:jc w:val="left"/>
    </w:pPr>
    <w:rPr>
      <w:rFonts w:cs="宋体"/>
      <w:kern w:val="0"/>
      <w:sz w:val="28"/>
      <w:szCs w:val="20"/>
    </w:rPr>
  </w:style>
  <w:style w:type="paragraph" w:styleId="7">
    <w:name w:val="Body Text First Indent 2"/>
    <w:basedOn w:val="5"/>
    <w:next w:val="1"/>
    <w:qFormat/>
    <w:uiPriority w:val="99"/>
    <w:pPr>
      <w:ind w:firstLine="420" w:firstLineChars="200"/>
    </w:pPr>
  </w:style>
  <w:style w:type="paragraph" w:styleId="8">
    <w:name w:val="Balloon Text"/>
    <w:basedOn w:val="1"/>
    <w:link w:val="18"/>
    <w:semiHidden/>
    <w:unhideWhenUsed/>
    <w:qFormat/>
    <w:uiPriority w:val="99"/>
    <w:rPr>
      <w:sz w:val="18"/>
      <w:szCs w:val="18"/>
    </w:rPr>
  </w:style>
  <w:style w:type="paragraph" w:styleId="9">
    <w:name w:val="footer"/>
    <w:basedOn w:val="1"/>
    <w:link w:val="17"/>
    <w:unhideWhenUsed/>
    <w:qFormat/>
    <w:uiPriority w:val="99"/>
    <w:pPr>
      <w:tabs>
        <w:tab w:val="center" w:pos="4153"/>
        <w:tab w:val="right" w:pos="8306"/>
      </w:tabs>
      <w:snapToGrid w:val="0"/>
      <w:jc w:val="left"/>
    </w:pPr>
    <w:rPr>
      <w:sz w:val="18"/>
      <w:szCs w:val="18"/>
    </w:rPr>
  </w:style>
  <w:style w:type="paragraph" w:styleId="10">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99"/>
    <w:pPr>
      <w:spacing w:beforeAutospacing="1" w:afterAutospacing="1"/>
      <w:jc w:val="left"/>
    </w:pPr>
    <w:rPr>
      <w:rFonts w:cs="Times New Roman"/>
      <w:kern w:val="0"/>
      <w:sz w:val="24"/>
      <w:szCs w:val="24"/>
    </w:rPr>
  </w:style>
  <w:style w:type="table" w:styleId="13">
    <w:name w:val="Table Grid"/>
    <w:basedOn w:val="12"/>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Hyperlink"/>
    <w:basedOn w:val="14"/>
    <w:semiHidden/>
    <w:unhideWhenUsed/>
    <w:qFormat/>
    <w:uiPriority w:val="99"/>
    <w:rPr>
      <w:color w:val="0000FF"/>
      <w:u w:val="single"/>
    </w:rPr>
  </w:style>
  <w:style w:type="character" w:customStyle="1" w:styleId="16">
    <w:name w:val="页眉 Char"/>
    <w:basedOn w:val="14"/>
    <w:link w:val="10"/>
    <w:qFormat/>
    <w:uiPriority w:val="99"/>
    <w:rPr>
      <w:sz w:val="18"/>
      <w:szCs w:val="18"/>
    </w:rPr>
  </w:style>
  <w:style w:type="character" w:customStyle="1" w:styleId="17">
    <w:name w:val="页脚 Char"/>
    <w:basedOn w:val="14"/>
    <w:link w:val="9"/>
    <w:qFormat/>
    <w:uiPriority w:val="99"/>
    <w:rPr>
      <w:sz w:val="18"/>
      <w:szCs w:val="18"/>
    </w:rPr>
  </w:style>
  <w:style w:type="character" w:customStyle="1" w:styleId="18">
    <w:name w:val="批注框文本 Char"/>
    <w:basedOn w:val="14"/>
    <w:link w:val="8"/>
    <w:semiHidden/>
    <w:qFormat/>
    <w:uiPriority w:val="99"/>
    <w:rPr>
      <w:sz w:val="18"/>
      <w:szCs w:val="18"/>
    </w:rPr>
  </w:style>
  <w:style w:type="character" w:customStyle="1" w:styleId="19">
    <w:name w:val="number"/>
    <w:basedOn w:val="14"/>
    <w:qFormat/>
    <w:uiPriority w:val="0"/>
  </w:style>
  <w:style w:type="paragraph" w:customStyle="1" w:styleId="20">
    <w:name w:val="公文 1级标题"/>
    <w:next w:val="1"/>
    <w:qFormat/>
    <w:uiPriority w:val="0"/>
    <w:pPr>
      <w:spacing w:line="560" w:lineRule="exact"/>
      <w:jc w:val="center"/>
    </w:pPr>
    <w:rPr>
      <w:rFonts w:ascii="方正小标宋简体" w:hAnsi="仿宋_GB2312" w:eastAsia="方正小标宋简体" w:cs="仿宋_GB2312"/>
      <w:kern w:val="2"/>
      <w:sz w:val="44"/>
      <w:szCs w:val="44"/>
      <w:lang w:val="en-US" w:eastAsia="zh-CN" w:bidi="ar-SA"/>
    </w:rPr>
  </w:style>
  <w:style w:type="paragraph" w:customStyle="1" w:styleId="21">
    <w:name w:val="公文 2级标题 一、"/>
    <w:next w:val="1"/>
    <w:qFormat/>
    <w:uiPriority w:val="0"/>
    <w:pPr>
      <w:spacing w:line="560" w:lineRule="exact"/>
      <w:ind w:firstLine="640" w:firstLineChars="200"/>
      <w:outlineLvl w:val="0"/>
    </w:pPr>
    <w:rPr>
      <w:rFonts w:ascii="黑体" w:hAnsi="黑体" w:eastAsia="黑体" w:cs="Times New Roman"/>
      <w:kern w:val="2"/>
      <w:sz w:val="32"/>
      <w:szCs w:val="32"/>
      <w:lang w:val="en-US" w:eastAsia="zh-CN" w:bidi="ar-SA"/>
    </w:rPr>
  </w:style>
  <w:style w:type="paragraph" w:customStyle="1" w:styleId="22">
    <w:name w:val="公文 正文"/>
    <w:qFormat/>
    <w:uiPriority w:val="99"/>
    <w:pPr>
      <w:spacing w:line="580" w:lineRule="exact"/>
      <w:ind w:firstLine="640" w:firstLineChars="200"/>
      <w:jc w:val="both"/>
    </w:pPr>
    <w:rPr>
      <w:rFonts w:ascii="仿宋_GB2312" w:hAnsi="Times New Roman" w:eastAsia="仿宋_GB2312" w:cs="Times New Roman"/>
      <w:color w:val="000000" w:themeColor="text1"/>
      <w:kern w:val="2"/>
      <w:sz w:val="32"/>
      <w:szCs w:val="32"/>
      <w:lang w:val="en-US" w:eastAsia="zh-CN" w:bidi="ar-SA"/>
      <w14:textFill>
        <w14:solidFill>
          <w14:schemeClr w14:val="tx1"/>
        </w14:solidFill>
      </w14:textFill>
    </w:rPr>
  </w:style>
  <w:style w:type="paragraph" w:customStyle="1" w:styleId="23">
    <w:name w:val="公文 3级标题 （一）"/>
    <w:next w:val="1"/>
    <w:qFormat/>
    <w:uiPriority w:val="0"/>
    <w:pPr>
      <w:spacing w:line="560" w:lineRule="exact"/>
      <w:ind w:firstLine="643" w:firstLineChars="200"/>
      <w:outlineLvl w:val="1"/>
    </w:pPr>
    <w:rPr>
      <w:rFonts w:ascii="楷体" w:hAnsi="楷体" w:eastAsia="楷体" w:cs="Times New Roman"/>
      <w:b/>
      <w:kern w:val="2"/>
      <w:sz w:val="32"/>
      <w:szCs w:val="32"/>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49D71A-D474-4A8E-82DC-AB9FEA72F268}">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4</Pages>
  <Words>1409</Words>
  <Characters>1541</Characters>
  <Lines>18</Lines>
  <Paragraphs>5</Paragraphs>
  <TotalTime>0</TotalTime>
  <ScaleCrop>false</ScaleCrop>
  <LinksUpToDate>false</LinksUpToDate>
  <CharactersWithSpaces>1550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2020-03-25T02:05:00Z</dcterms:created>
  <dc:creator>THINK</dc:creator>
  <cp:lastModifiedBy>解夏。</cp:lastModifiedBy>
  <dcterms:modified xsi:type="dcterms:W3CDTF">2022-10-20T08:46:52Z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E0EB8EA6A059434C9C1D382AA6402BD3</vt:lpwstr>
  </property>
</Properties>
</file>