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bidi w:val="0"/>
        <w:snapToGrid/>
        <w:spacing w:line="590" w:lineRule="exact"/>
        <w:jc w:val="center"/>
        <w:textAlignment w:val="auto"/>
        <w:rPr>
          <w:rFonts w:hint="default" w:ascii="Times New Roman" w:hAnsi="Times New Roman" w:eastAsia="方正小标宋简体" w:cs="Times New Roman"/>
          <w:sz w:val="44"/>
          <w:szCs w:val="44"/>
          <w:lang w:eastAsia="zh-CN"/>
        </w:rPr>
      </w:pPr>
    </w:p>
    <w:p>
      <w:pPr>
        <w:pStyle w:val="2"/>
        <w:rPr>
          <w:rFonts w:hint="default"/>
          <w:lang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color w:val="000000" w:themeColor="text1"/>
          <w:spacing w:val="-20"/>
          <w:sz w:val="40"/>
          <w:szCs w:val="40"/>
          <w14:textFill>
            <w14:solidFill>
              <w14:schemeClr w14:val="tx1"/>
            </w14:solidFill>
          </w14:textFill>
        </w:rPr>
      </w:pPr>
      <w:r>
        <w:rPr>
          <w:rFonts w:hint="eastAsia" w:ascii="方正小标宋_GBK" w:hAnsi="方正小标宋_GBK" w:eastAsia="方正小标宋_GBK" w:cs="方正小标宋_GBK"/>
          <w:color w:val="000000" w:themeColor="text1"/>
          <w:spacing w:val="-20"/>
          <w:sz w:val="40"/>
          <w:szCs w:val="40"/>
          <w14:textFill>
            <w14:solidFill>
              <w14:schemeClr w14:val="tx1"/>
            </w14:solidFill>
          </w14:textFill>
        </w:rPr>
        <w:t>石台县人民政府办公室关于</w:t>
      </w:r>
      <w:r>
        <w:rPr>
          <w:rFonts w:hint="eastAsia" w:ascii="方正小标宋_GBK" w:hAnsi="方正小标宋_GBK" w:eastAsia="方正小标宋_GBK" w:cs="方正小标宋_GBK"/>
          <w:color w:val="000000" w:themeColor="text1"/>
          <w:spacing w:val="-20"/>
          <w:sz w:val="40"/>
          <w:szCs w:val="40"/>
          <w:lang w:eastAsia="zh-CN"/>
          <w14:textFill>
            <w14:solidFill>
              <w14:schemeClr w14:val="tx1"/>
            </w14:solidFill>
          </w14:textFill>
        </w:rPr>
        <w:t>印发《</w:t>
      </w:r>
      <w:r>
        <w:rPr>
          <w:rFonts w:hint="eastAsia" w:ascii="方正小标宋_GBK" w:hAnsi="方正小标宋_GBK" w:eastAsia="方正小标宋_GBK" w:cs="方正小标宋_GBK"/>
          <w:color w:val="000000" w:themeColor="text1"/>
          <w:spacing w:val="-20"/>
          <w:sz w:val="40"/>
          <w:szCs w:val="40"/>
          <w14:textFill>
            <w14:solidFill>
              <w14:schemeClr w14:val="tx1"/>
            </w14:solidFill>
          </w14:textFill>
        </w:rPr>
        <w:t>石台县地质灾害防治“十四五”规划（2021</w:t>
      </w:r>
      <w:r>
        <w:rPr>
          <w:rFonts w:hint="eastAsia" w:ascii="方正小标宋_GBK" w:hAnsi="方正小标宋_GBK" w:eastAsia="方正小标宋_GBK" w:cs="方正小标宋_GBK"/>
          <w:color w:val="000000" w:themeColor="text1"/>
          <w:spacing w:val="-20"/>
          <w:sz w:val="40"/>
          <w:szCs w:val="40"/>
          <w:lang w:eastAsia="zh-CN"/>
          <w14:textFill>
            <w14:solidFill>
              <w14:schemeClr w14:val="tx1"/>
            </w14:solidFill>
          </w14:textFill>
        </w:rPr>
        <w:t>—</w:t>
      </w:r>
      <w:r>
        <w:rPr>
          <w:rFonts w:hint="eastAsia" w:ascii="方正小标宋_GBK" w:hAnsi="方正小标宋_GBK" w:eastAsia="方正小标宋_GBK" w:cs="方正小标宋_GBK"/>
          <w:color w:val="000000" w:themeColor="text1"/>
          <w:spacing w:val="-20"/>
          <w:sz w:val="40"/>
          <w:szCs w:val="40"/>
          <w14:textFill>
            <w14:solidFill>
              <w14:schemeClr w14:val="tx1"/>
            </w14:solidFill>
          </w14:textFill>
        </w:rPr>
        <w:t>2025年）</w:t>
      </w:r>
      <w:r>
        <w:rPr>
          <w:rFonts w:hint="eastAsia" w:ascii="方正小标宋_GBK" w:hAnsi="方正小标宋_GBK" w:eastAsia="方正小标宋_GBK" w:cs="方正小标宋_GBK"/>
          <w:color w:val="000000" w:themeColor="text1"/>
          <w:spacing w:val="-20"/>
          <w:sz w:val="40"/>
          <w:szCs w:val="40"/>
          <w:lang w:eastAsia="zh-CN"/>
          <w14:textFill>
            <w14:solidFill>
              <w14:schemeClr w14:val="tx1"/>
            </w14:solidFill>
          </w14:textFill>
        </w:rPr>
        <w:t>》</w:t>
      </w:r>
      <w:r>
        <w:rPr>
          <w:rFonts w:hint="eastAsia" w:ascii="方正小标宋_GBK" w:hAnsi="方正小标宋_GBK" w:eastAsia="方正小标宋_GBK" w:cs="方正小标宋_GBK"/>
          <w:color w:val="000000" w:themeColor="text1"/>
          <w:spacing w:val="-20"/>
          <w:sz w:val="40"/>
          <w:szCs w:val="40"/>
          <w14:textFill>
            <w14:solidFill>
              <w14:schemeClr w14:val="tx1"/>
            </w14:solidFill>
          </w14:textFill>
        </w:rPr>
        <w:t>的通知</w:t>
      </w:r>
    </w:p>
    <w:p>
      <w:pPr>
        <w:pageBreakBefore w:val="0"/>
        <w:kinsoku/>
        <w:wordWrap/>
        <w:overflowPunct/>
        <w:topLinePunct w:val="0"/>
        <w:bidi w:val="0"/>
        <w:snapToGrid/>
        <w:spacing w:line="590" w:lineRule="exact"/>
        <w:jc w:val="center"/>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石政办秘〔</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2023</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72</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号</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各乡镇人民政府，各景区管理中心，</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县政府各部门、各直属机构</w:t>
      </w:r>
      <w:r>
        <w:rPr>
          <w:rFonts w:hint="default" w:ascii="Times New Roman" w:hAnsi="Times New Roman" w:eastAsia="方正仿宋_GBK" w:cs="Times New Roman"/>
          <w:color w:val="000000" w:themeColor="text1"/>
          <w:sz w:val="32"/>
          <w:szCs w:val="32"/>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经县政府同意，现将《石台县地质灾害防治“十四五”规划（2021—2025年）》印发给你们，请认真研究，抓好贯彻落实。</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jc w:val="righ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jc w:val="right"/>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eastAsia" w:eastAsia="方正仿宋_GBK"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32"/>
          <w:szCs w:val="32"/>
          <w14:textFill>
            <w14:solidFill>
              <w14:schemeClr w14:val="tx1"/>
            </w14:solidFill>
          </w14:textFill>
        </w:rPr>
        <w:t>石台县人民政府办公室</w:t>
      </w:r>
    </w:p>
    <w:p>
      <w:pPr>
        <w:keepNext w:val="0"/>
        <w:keepLines w:val="0"/>
        <w:pageBreakBefore w:val="0"/>
        <w:kinsoku/>
        <w:wordWrap/>
        <w:overflowPunct/>
        <w:topLinePunct w:val="0"/>
        <w:autoSpaceDE/>
        <w:autoSpaceDN/>
        <w:bidi w:val="0"/>
        <w:adjustRightInd/>
        <w:snapToGrid/>
        <w:spacing w:line="590" w:lineRule="exact"/>
        <w:ind w:firstLine="5120" w:firstLineChars="1600"/>
        <w:textAlignment w:val="auto"/>
        <w:rPr>
          <w:rFonts w:hint="default" w:ascii="Times New Roman" w:hAnsi="Times New Roman" w:eastAsia="方正仿宋_GBK" w:cs="Times New Roman"/>
          <w:color w:val="000000" w:themeColor="text1"/>
          <w:sz w:val="32"/>
          <w:szCs w:val="32"/>
          <w:lang w:eastAsia="zh-CN"/>
          <w14:textFill>
            <w14:solidFill>
              <w14:schemeClr w14:val="tx1"/>
            </w14:solidFill>
          </w14:textFill>
        </w:rPr>
      </w:pPr>
      <w:r>
        <w:rPr>
          <w:rFonts w:hint="default" w:ascii="Times New Roman" w:hAnsi="Times New Roman" w:eastAsia="方正仿宋_GBK" w:cs="Times New Roman"/>
          <w:color w:val="000000" w:themeColor="text1"/>
          <w:sz w:val="32"/>
          <w:szCs w:val="32"/>
          <w:lang w:eastAsia="zh-CN"/>
          <w14:textFill>
            <w14:solidFill>
              <w14:schemeClr w14:val="tx1"/>
            </w14:solidFill>
          </w14:textFill>
        </w:rPr>
        <w:t>202</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3</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年</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12</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月</w:t>
      </w:r>
      <w:r>
        <w:rPr>
          <w:rFonts w:hint="default" w:ascii="Times New Roman" w:hAnsi="Times New Roman" w:eastAsia="方正仿宋_GBK" w:cs="Times New Roman"/>
          <w:color w:val="000000" w:themeColor="text1"/>
          <w:sz w:val="32"/>
          <w:szCs w:val="32"/>
          <w:lang w:val="en-US" w:eastAsia="zh-CN"/>
          <w14:textFill>
            <w14:solidFill>
              <w14:schemeClr w14:val="tx1"/>
            </w14:solidFill>
          </w14:textFill>
        </w:rPr>
        <w:t>6</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日</w:t>
      </w:r>
    </w:p>
    <w:p>
      <w:pPr>
        <w:keepNext w:val="0"/>
        <w:keepLines w:val="0"/>
        <w:pageBreakBefore w:val="0"/>
        <w:kinsoku/>
        <w:wordWrap/>
        <w:overflowPunct/>
        <w:topLinePunct w:val="0"/>
        <w:autoSpaceDE/>
        <w:autoSpaceDN/>
        <w:bidi w:val="0"/>
        <w:adjustRightInd/>
        <w:snapToGrid/>
        <w:spacing w:line="590" w:lineRule="exact"/>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p>
    <w:p>
      <w:pPr>
        <w:pStyle w:val="12"/>
        <w:pageBreakBefore w:val="0"/>
        <w:kinsoku/>
        <w:wordWrap/>
        <w:overflowPunct/>
        <w:topLinePunct w:val="0"/>
        <w:bidi w:val="0"/>
        <w:snapToGrid/>
        <w:spacing w:line="590" w:lineRule="exact"/>
        <w:jc w:val="center"/>
        <w:textAlignment w:val="auto"/>
        <w:rPr>
          <w:rFonts w:hint="eastAsia" w:ascii="方正小标宋_GBK" w:hAnsi="方正小标宋_GBK" w:eastAsia="方正小标宋_GBK" w:cs="方正小标宋_GBK"/>
          <w:b w:val="0"/>
          <w:bCs/>
          <w:color w:val="000000" w:themeColor="text1"/>
          <w:sz w:val="32"/>
          <w:szCs w:val="32"/>
          <w14:textFill>
            <w14:solidFill>
              <w14:schemeClr w14:val="tx1"/>
            </w14:solidFill>
          </w14:textFill>
        </w:rPr>
      </w:pPr>
      <w:r>
        <w:rPr>
          <w:rFonts w:hint="default" w:ascii="Times New Roman" w:hAnsi="Times New Roman" w:eastAsia="方正小标宋简体" w:cs="Times New Roman"/>
          <w:color w:val="000000" w:themeColor="text1"/>
          <w:sz w:val="44"/>
          <w:szCs w:val="44"/>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sz w:val="32"/>
          <w:szCs w:val="32"/>
          <w14:textFill>
            <w14:solidFill>
              <w14:schemeClr w14:val="tx1"/>
            </w14:solidFill>
          </w14:textFill>
        </w:rPr>
        <w:t>目   录</w:t>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0" w:firstLineChars="200"/>
        <w:textAlignment w:val="auto"/>
        <w:rPr>
          <w:rFonts w:hint="default" w:ascii="Times New Roman" w:hAnsi="Times New Roman" w:eastAsia="楷体_GB2312" w:cs="Times New Roman"/>
          <w:b/>
          <w:bCs w:val="0"/>
          <w:caps w:val="0"/>
          <w:color w:val="000000" w:themeColor="text1"/>
          <w:sz w:val="32"/>
          <w:szCs w:val="32"/>
          <w14:textFill>
            <w14:solidFill>
              <w14:schemeClr w14:val="tx1"/>
            </w14:solidFill>
          </w14:textFill>
        </w:rPr>
      </w:pPr>
      <w:r>
        <w:rPr>
          <w:rFonts w:hint="default" w:ascii="Times New Roman" w:hAnsi="Times New Roman" w:eastAsia="仿宋" w:cs="Times New Roman"/>
          <w:b w:val="0"/>
          <w:caps w:val="0"/>
          <w:color w:val="000000" w:themeColor="text1"/>
          <w:sz w:val="32"/>
          <w:szCs w:val="32"/>
          <w14:textFill>
            <w14:solidFill>
              <w14:schemeClr w14:val="tx1"/>
            </w14:solidFill>
          </w14:textFill>
        </w:rPr>
        <w:fldChar w:fldCharType="begin"/>
      </w:r>
      <w:r>
        <w:rPr>
          <w:rFonts w:hint="default" w:ascii="Times New Roman" w:hAnsi="Times New Roman" w:eastAsia="仿宋" w:cs="Times New Roman"/>
          <w:b w:val="0"/>
          <w:caps w:val="0"/>
          <w:color w:val="000000" w:themeColor="text1"/>
          <w:sz w:val="32"/>
          <w:szCs w:val="32"/>
          <w14:textFill>
            <w14:solidFill>
              <w14:schemeClr w14:val="tx1"/>
            </w14:solidFill>
          </w14:textFill>
        </w:rPr>
        <w:instrText xml:space="preserve"> TOC \o "1-3" \h \z \u </w:instrText>
      </w:r>
      <w:r>
        <w:rPr>
          <w:rFonts w:hint="default" w:ascii="Times New Roman" w:hAnsi="Times New Roman" w:eastAsia="仿宋" w:cs="Times New Roman"/>
          <w:b w:val="0"/>
          <w:caps w:val="0"/>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olor w:val="000000" w:themeColor="text1"/>
          <w:sz w:val="32"/>
          <w:szCs w:val="32"/>
          <w14:textFill>
            <w14:solidFill>
              <w14:schemeClr w14:val="tx1"/>
            </w14:solidFill>
          </w14:textFill>
        </w:rPr>
        <w:instrText xml:space="preserve"> </w:instrText>
      </w:r>
      <w:r>
        <w:rPr>
          <w:rFonts w:hint="default" w:ascii="Times New Roman" w:hAnsi="Times New Roman" w:eastAsia="楷体_GB2312" w:cs="Times New Roman"/>
          <w:b/>
          <w:bCs w:val="0"/>
          <w:color w:val="000000" w:themeColor="text1"/>
          <w:sz w:val="32"/>
          <w:szCs w:val="32"/>
          <w14:textFill>
            <w14:solidFill>
              <w14:schemeClr w14:val="tx1"/>
            </w14:solidFill>
          </w14:textFill>
        </w:rPr>
        <w:instrText xml:space="preserve">HYPERLINK \l "_Toc112677970"</w:instrText>
      </w:r>
      <w:r>
        <w:rPr>
          <w:rStyle w:val="11"/>
          <w:rFonts w:hint="default" w:ascii="Times New Roman" w:hAnsi="Times New Roman" w:eastAsia="楷体_GB2312" w:cs="Times New Roman"/>
          <w:b/>
          <w:bCs w:val="0"/>
          <w:color w:val="000000" w:themeColor="text1"/>
          <w:sz w:val="32"/>
          <w:szCs w:val="32"/>
          <w14:textFill>
            <w14:solidFill>
              <w14:schemeClr w14:val="tx1"/>
            </w14:solidFill>
          </w14:textFill>
        </w:rPr>
        <w:instrText xml:space="preserve"> </w:instrText>
      </w:r>
      <w:r>
        <w:rPr>
          <w:rStyle w:val="11"/>
          <w:rFonts w:hint="default" w:ascii="Times New Roman" w:hAnsi="Times New Roman" w:eastAsia="楷体_GB2312" w:cs="Times New Roman"/>
          <w:b/>
          <w:bCs w:val="0"/>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olor w:val="000000" w:themeColor="text1"/>
          <w:sz w:val="32"/>
          <w:szCs w:val="32"/>
          <w14:textFill>
            <w14:solidFill>
              <w14:schemeClr w14:val="tx1"/>
            </w14:solidFill>
          </w14:textFill>
        </w:rPr>
        <w:t>前   言</w:t>
      </w:r>
      <w:r>
        <w:rPr>
          <w:rFonts w:hint="default" w:ascii="Times New Roman" w:hAnsi="Times New Roman" w:eastAsia="楷体_GB2312" w:cs="Times New Roman"/>
          <w:b/>
          <w:bCs w:val="0"/>
          <w:color w:val="000000" w:themeColor="text1"/>
          <w:sz w:val="32"/>
          <w:szCs w:val="32"/>
          <w14:textFill>
            <w14:solidFill>
              <w14:schemeClr w14:val="tx1"/>
            </w14:solidFill>
          </w14:textFill>
        </w:rPr>
        <w:tab/>
      </w:r>
      <w:r>
        <w:rPr>
          <w:rFonts w:hint="default" w:ascii="Times New Roman" w:hAnsi="Times New Roman" w:eastAsia="楷体_GB2312" w:cs="Times New Roman"/>
          <w:b/>
          <w:bCs w:val="0"/>
          <w:color w:val="000000" w:themeColor="text1"/>
          <w:sz w:val="32"/>
          <w:szCs w:val="32"/>
          <w14:textFill>
            <w14:solidFill>
              <w14:schemeClr w14:val="tx1"/>
            </w14:solidFill>
          </w14:textFill>
        </w:rPr>
        <w:fldChar w:fldCharType="begin"/>
      </w:r>
      <w:r>
        <w:rPr>
          <w:rFonts w:hint="default" w:ascii="Times New Roman" w:hAnsi="Times New Roman" w:eastAsia="楷体_GB2312" w:cs="Times New Roman"/>
          <w:b/>
          <w:bCs w:val="0"/>
          <w:color w:val="000000" w:themeColor="text1"/>
          <w:sz w:val="32"/>
          <w:szCs w:val="32"/>
          <w14:textFill>
            <w14:solidFill>
              <w14:schemeClr w14:val="tx1"/>
            </w14:solidFill>
          </w14:textFill>
        </w:rPr>
        <w:instrText xml:space="preserve"> PAGEREF _Toc112677970 \h </w:instrText>
      </w:r>
      <w:r>
        <w:rPr>
          <w:rFonts w:hint="default" w:ascii="Times New Roman" w:hAnsi="Times New Roman" w:eastAsia="楷体_GB2312" w:cs="Times New Roman"/>
          <w:b/>
          <w:bCs w:val="0"/>
          <w:color w:val="000000" w:themeColor="text1"/>
          <w:sz w:val="32"/>
          <w:szCs w:val="32"/>
          <w14:textFill>
            <w14:solidFill>
              <w14:schemeClr w14:val="tx1"/>
            </w14:solidFill>
          </w14:textFill>
        </w:rPr>
        <w:fldChar w:fldCharType="separate"/>
      </w:r>
      <w:r>
        <w:rPr>
          <w:rFonts w:hint="default" w:ascii="Times New Roman" w:hAnsi="Times New Roman" w:eastAsia="楷体_GB2312" w:cs="Times New Roman"/>
          <w:b/>
          <w:bCs w:val="0"/>
          <w:color w:val="000000" w:themeColor="text1"/>
          <w:sz w:val="32"/>
          <w:szCs w:val="32"/>
          <w14:textFill>
            <w14:solidFill>
              <w14:schemeClr w14:val="tx1"/>
            </w14:solidFill>
          </w14:textFill>
        </w:rPr>
        <w:t>1</w:t>
      </w:r>
      <w:r>
        <w:rPr>
          <w:rFonts w:hint="default" w:ascii="Times New Roman" w:hAnsi="Times New Roman" w:eastAsia="楷体_GB2312" w:cs="Times New Roman"/>
          <w:b/>
          <w:bCs w:val="0"/>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olor w:val="000000" w:themeColor="text1"/>
          <w:sz w:val="32"/>
          <w:szCs w:val="32"/>
          <w14:textFill>
            <w14:solidFill>
              <w14:schemeClr w14:val="tx1"/>
            </w14:solidFill>
          </w14:textFill>
        </w:rPr>
        <w:fldChar w:fldCharType="end"/>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3"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"_Toc112677971"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一  地质灾害现状与防治形势</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_Toc112677971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2</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"_Toc112677972"</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（一）地质灾害现状</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_Toc112677972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"_Toc112677973"</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（二）“十三五”防治成效</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_Toc112677973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"_Toc112677974"</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（三）“十四五”防治形势</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_Toc112677974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4</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3"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"_Toc112677975"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二  《规划》指导思想、原则与目标</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_Toc112677975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7</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"_Toc112677976"</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（一）指导思想</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_Toc112677976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7</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"_Toc112677977"</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（二）规划原则</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_Toc112677977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7</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"_Toc112677978"</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（三）规划目标</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_Toc112677978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9</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"_Toc112677979"</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（四）规划作用与定位</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_Toc112677979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11</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3"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"_Toc112677980"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三  地质灾害易发性分区和防治分区</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_Toc112677980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12</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"_Toc112677981"</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（一）地质灾害易发性分区</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_Toc112677981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12</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eastAsia" w:ascii="Times New Roman" w:hAnsi="Times New Roman" w:eastAsia="仿宋_GB2312" w:cs="Times New Roman"/>
          <w:smallCaps w:val="0"/>
          <w:color w:val="000000" w:themeColor="text1"/>
          <w:sz w:val="32"/>
          <w:szCs w:val="32"/>
          <w:lang w:val="en-US" w:eastAsia="zh-CN"/>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"_Toc112677982"</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（二）地质灾害防治分区</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eastAsia" w:cs="Times New Roman"/>
          <w:color w:val="000000" w:themeColor="text1"/>
          <w:sz w:val="32"/>
          <w:szCs w:val="32"/>
          <w:lang w:val="en-US" w:eastAsia="zh-CN"/>
          <w14:textFill>
            <w14:solidFill>
              <w14:schemeClr w14:val="tx1"/>
            </w14:solidFill>
          </w14:textFill>
        </w:rPr>
        <w:t>1</w: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eastAsia" w:cs="Times New Roman"/>
          <w:color w:val="000000" w:themeColor="text1"/>
          <w:sz w:val="32"/>
          <w:szCs w:val="32"/>
          <w:lang w:val="en-US" w:eastAsia="zh-CN"/>
          <w14:textFill>
            <w14:solidFill>
              <w14:schemeClr w14:val="tx1"/>
            </w14:solidFill>
          </w14:textFill>
        </w:rPr>
        <w:t>5</w:t>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3"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"_Toc112677983"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四  地质灾害防治任务</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_Toc112677983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19</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"_Toc112677984"</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（一）全面掌握地质灾害风险底数</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_Toc112677984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19</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"_Toc112677985"</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（二）不断加强监测预警体系建设</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_Toc112677985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20</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eastAsia" w:ascii="Times New Roman" w:hAnsi="Times New Roman" w:eastAsia="仿宋_GB2312" w:cs="Times New Roman"/>
          <w:smallCaps w:val="0"/>
          <w:color w:val="000000" w:themeColor="text1"/>
          <w:sz w:val="32"/>
          <w:szCs w:val="32"/>
          <w:lang w:val="en-US" w:eastAsia="zh-CN"/>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"_Toc112677986"</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（三）深入推进地质灾害综合治理</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eastAsia" w:cs="Times New Roman"/>
          <w:color w:val="000000" w:themeColor="text1"/>
          <w:sz w:val="32"/>
          <w:szCs w:val="32"/>
          <w:lang w:val="en-US" w:eastAsia="zh-CN"/>
          <w14:textFill>
            <w14:solidFill>
              <w14:schemeClr w14:val="tx1"/>
            </w14:solidFill>
          </w14:textFill>
        </w:rPr>
        <w:t>2</w: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eastAsia" w:cs="Times New Roman"/>
          <w:color w:val="000000" w:themeColor="text1"/>
          <w:sz w:val="32"/>
          <w:szCs w:val="32"/>
          <w:lang w:val="en-US" w:eastAsia="zh-CN"/>
          <w14:textFill>
            <w14:solidFill>
              <w14:schemeClr w14:val="tx1"/>
            </w14:solidFill>
          </w14:textFill>
        </w:rPr>
        <w:t>2</w:t>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"_Toc112677987"</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（四）着力提升地质灾害防治能力</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_Toc112677987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22</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"_Toc112677988"</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（五）强化地质灾害防治科学研究</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_Toc112677988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24</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Style w:val="11"/>
          <w:rFonts w:hint="default" w:ascii="Times New Roman" w:hAnsi="Times New Roman" w:eastAsia="仿宋_GB2312" w:cs="Times New Roman"/>
          <w:color w:val="000000" w:themeColor="text1"/>
          <w:sz w:val="32"/>
          <w:szCs w:val="32"/>
          <w14:textFill>
            <w14:solidFill>
              <w14:schemeClr w14:val="tx1"/>
            </w14:solidFill>
          </w14:textFill>
        </w:rPr>
        <w:sectPr>
          <w:footerReference r:id="rId3" w:type="default"/>
          <w:pgSz w:w="11906" w:h="16838"/>
          <w:pgMar w:top="2098" w:right="1588" w:bottom="2098" w:left="1588" w:header="851" w:footer="992" w:gutter="0"/>
          <w:pgNumType w:fmt="decimal" w:start="1"/>
          <w:cols w:space="720" w:num="1"/>
          <w:docGrid w:type="lines" w:linePitch="312" w:charSpace="0"/>
        </w:sectPr>
      </w:pP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eastAsia" w:ascii="Times New Roman" w:hAnsi="Times New Roman" w:eastAsia="仿宋_GB2312" w:cs="Times New Roman"/>
          <w:smallCaps w:val="0"/>
          <w:color w:val="000000" w:themeColor="text1"/>
          <w:sz w:val="32"/>
          <w:szCs w:val="32"/>
          <w:lang w:val="en-US" w:eastAsia="zh-CN"/>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"_Toc112677989"</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（六）提高全流程信息化管理水平</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eastAsia" w:cs="Times New Roman"/>
          <w:color w:val="000000" w:themeColor="text1"/>
          <w:sz w:val="32"/>
          <w:szCs w:val="32"/>
          <w:lang w:val="en-US" w:eastAsia="zh-CN"/>
          <w14:textFill>
            <w14:solidFill>
              <w14:schemeClr w14:val="tx1"/>
            </w14:solidFill>
          </w14:textFill>
        </w:rPr>
        <w:t>2</w: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eastAsia" w:cs="Times New Roman"/>
          <w:color w:val="000000" w:themeColor="text1"/>
          <w:sz w:val="32"/>
          <w:szCs w:val="32"/>
          <w:lang w:val="en-US" w:eastAsia="zh-CN"/>
          <w14:textFill>
            <w14:solidFill>
              <w14:schemeClr w14:val="tx1"/>
            </w14:solidFill>
          </w14:textFill>
        </w:rPr>
        <w:t>5</w:t>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0"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"_Toc112677990"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五  经费估算</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_Toc112677990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26</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0"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"_Toc112677991"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六  保障措施</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_Toc112677991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28</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"_Toc112677992"</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（一）加强组织领导</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_Toc112677992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28</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"_Toc112677993"</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（二）加大资金保障</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_Toc112677993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28</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eastAsia" w:ascii="Times New Roman" w:hAnsi="Times New Roman" w:eastAsia="仿宋_GB2312" w:cs="Times New Roman"/>
          <w:smallCaps w:val="0"/>
          <w:color w:val="000000" w:themeColor="text1"/>
          <w:sz w:val="32"/>
          <w:szCs w:val="32"/>
          <w:lang w:val="en-US" w:eastAsia="zh-CN"/>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"_Toc112677994"</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（三）加强监督考核</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eastAsia" w:cs="Times New Roman"/>
          <w:color w:val="000000" w:themeColor="text1"/>
          <w:sz w:val="32"/>
          <w:szCs w:val="32"/>
          <w:lang w:val="en-US" w:eastAsia="zh-CN"/>
          <w14:textFill>
            <w14:solidFill>
              <w14:schemeClr w14:val="tx1"/>
            </w14:solidFill>
          </w14:textFill>
        </w:rPr>
        <w:t>2</w: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eastAsia" w:cs="Times New Roman"/>
          <w:color w:val="000000" w:themeColor="text1"/>
          <w:sz w:val="32"/>
          <w:szCs w:val="32"/>
          <w:lang w:val="en-US" w:eastAsia="zh-CN"/>
          <w14:textFill>
            <w14:solidFill>
              <w14:schemeClr w14:val="tx1"/>
            </w14:solidFill>
          </w14:textFill>
        </w:rPr>
        <w:t>9</w:t>
      </w:r>
    </w:p>
    <w:p>
      <w:pPr>
        <w:pStyle w:val="8"/>
        <w:keepNext w:val="0"/>
        <w:keepLines w:val="0"/>
        <w:pageBreakBefore w:val="0"/>
        <w:widowControl w:val="0"/>
        <w:tabs>
          <w:tab w:val="right" w:leader="dot" w:pos="8494"/>
        </w:tabs>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_GB2312" w:cs="Times New Roman"/>
          <w:smallCaps w:val="0"/>
          <w:color w:val="000000" w:themeColor="text1"/>
          <w:sz w:val="32"/>
          <w:szCs w:val="32"/>
          <w14:textFill>
            <w14:solidFill>
              <w14:schemeClr w14:val="tx1"/>
            </w14:solidFill>
          </w14:textFill>
        </w:rPr>
      </w:pP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HYPERLINK \l "_Toc112677995"</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instrText xml:space="preserve"> </w:instrText>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Style w:val="11"/>
          <w:rFonts w:hint="default" w:ascii="Times New Roman" w:hAnsi="Times New Roman" w:eastAsia="仿宋_GB2312" w:cs="Times New Roman"/>
          <w:color w:val="000000" w:themeColor="text1"/>
          <w:sz w:val="32"/>
          <w:szCs w:val="32"/>
          <w14:textFill>
            <w14:solidFill>
              <w14:schemeClr w14:val="tx1"/>
            </w14:solidFill>
          </w14:textFill>
        </w:rPr>
        <w:t>（四）加强宣传教育</w:t>
      </w:r>
      <w:r>
        <w:rPr>
          <w:rFonts w:hint="default" w:ascii="Times New Roman" w:hAnsi="Times New Roman" w:eastAsia="仿宋_GB2312" w:cs="Times New Roman"/>
          <w:color w:val="000000" w:themeColor="text1"/>
          <w:sz w:val="32"/>
          <w:szCs w:val="32"/>
          <w14:textFill>
            <w14:solidFill>
              <w14:schemeClr w14:val="tx1"/>
            </w14:solidFill>
          </w14:textFill>
        </w:rPr>
        <w:tab/>
      </w:r>
      <w:r>
        <w:rPr>
          <w:rFonts w:hint="default" w:ascii="Times New Roman" w:hAnsi="Times New Roman" w:eastAsia="仿宋_GB2312" w:cs="Times New Roman"/>
          <w:color w:val="000000" w:themeColor="text1"/>
          <w:sz w:val="32"/>
          <w:szCs w:val="32"/>
          <w14:textFill>
            <w14:solidFill>
              <w14:schemeClr w14:val="tx1"/>
            </w14:solidFill>
          </w14:textFill>
        </w:rPr>
        <w:fldChar w:fldCharType="begin"/>
      </w:r>
      <w:r>
        <w:rPr>
          <w:rFonts w:hint="default" w:ascii="Times New Roman" w:hAnsi="Times New Roman" w:eastAsia="仿宋_GB2312" w:cs="Times New Roman"/>
          <w:color w:val="000000" w:themeColor="text1"/>
          <w:sz w:val="32"/>
          <w:szCs w:val="32"/>
          <w14:textFill>
            <w14:solidFill>
              <w14:schemeClr w14:val="tx1"/>
            </w14:solidFill>
          </w14:textFill>
        </w:rPr>
        <w:instrText xml:space="preserve"> PAGEREF _Toc112677995 \h </w:instrText>
      </w:r>
      <w:r>
        <w:rPr>
          <w:rFonts w:hint="default" w:ascii="Times New Roman" w:hAnsi="Times New Roman" w:eastAsia="仿宋_GB2312" w:cs="Times New Roman"/>
          <w:color w:val="000000" w:themeColor="text1"/>
          <w:sz w:val="32"/>
          <w:szCs w:val="32"/>
          <w14:textFill>
            <w14:solidFill>
              <w14:schemeClr w14:val="tx1"/>
            </w14:solidFill>
          </w14:textFill>
        </w:rPr>
        <w:fldChar w:fldCharType="separate"/>
      </w:r>
      <w:r>
        <w:rPr>
          <w:rFonts w:hint="default" w:ascii="Times New Roman" w:hAnsi="Times New Roman" w:eastAsia="仿宋_GB2312" w:cs="Times New Roman"/>
          <w:color w:val="000000" w:themeColor="text1"/>
          <w:sz w:val="32"/>
          <w:szCs w:val="32"/>
          <w14:textFill>
            <w14:solidFill>
              <w14:schemeClr w14:val="tx1"/>
            </w14:solidFill>
          </w14:textFill>
        </w:rPr>
        <w:t>29</w:t>
      </w:r>
      <w:r>
        <w:rPr>
          <w:rFonts w:hint="default" w:ascii="Times New Roman" w:hAnsi="Times New Roman" w:eastAsia="仿宋_GB2312" w:cs="Times New Roman"/>
          <w:color w:val="000000" w:themeColor="text1"/>
          <w:sz w:val="32"/>
          <w:szCs w:val="32"/>
          <w14:textFill>
            <w14:solidFill>
              <w14:schemeClr w14:val="tx1"/>
            </w14:solidFill>
          </w14:textFill>
        </w:rPr>
        <w:fldChar w:fldCharType="end"/>
      </w:r>
      <w:r>
        <w:rPr>
          <w:rStyle w:val="11"/>
          <w:rFonts w:hint="default" w:ascii="Times New Roman" w:hAnsi="Times New Roman" w:eastAsia="仿宋_GB2312" w:cs="Times New Roman"/>
          <w:color w:val="000000" w:themeColor="text1"/>
          <w:sz w:val="32"/>
          <w:szCs w:val="32"/>
          <w14:textFill>
            <w14:solidFill>
              <w14:schemeClr w14:val="tx1"/>
            </w14:solidFill>
          </w14:textFill>
        </w:rPr>
        <w:fldChar w:fldCharType="end"/>
      </w:r>
    </w:p>
    <w:p>
      <w:pPr>
        <w:pStyle w:val="7"/>
        <w:keepNext w:val="0"/>
        <w:keepLines w:val="0"/>
        <w:pageBreakBefore w:val="0"/>
        <w:widowControl w:val="0"/>
        <w:tabs>
          <w:tab w:val="right" w:leader="dot" w:pos="8494"/>
        </w:tabs>
        <w:kinsoku/>
        <w:wordWrap/>
        <w:overflowPunct/>
        <w:topLinePunct w:val="0"/>
        <w:autoSpaceDE/>
        <w:autoSpaceDN/>
        <w:bidi w:val="0"/>
        <w:adjustRightInd/>
        <w:snapToGrid/>
        <w:spacing w:before="0" w:beforeLines="0" w:after="0" w:afterLines="0" w:line="590" w:lineRule="exact"/>
        <w:ind w:left="0" w:firstLine="640" w:firstLineChars="200"/>
        <w:textAlignment w:val="auto"/>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pP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HYPERLINK \l "_Toc112677996"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附　　则</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ab/>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begin"/>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instrText xml:space="preserve"> PAGEREF _Toc112677996 \h </w:instrTex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separate"/>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t>30</w:t>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r>
        <w:rPr>
          <w:rStyle w:val="11"/>
          <w:rFonts w:hint="default" w:ascii="Times New Roman" w:hAnsi="Times New Roman" w:eastAsia="楷体_GB2312" w:cs="Times New Roman"/>
          <w:b/>
          <w:bCs w:val="0"/>
          <w:caps/>
          <w:color w:val="000000" w:themeColor="text1"/>
          <w:sz w:val="32"/>
          <w:szCs w:val="32"/>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590" w:lineRule="exact"/>
        <w:ind w:left="0" w:firstLine="640" w:firstLineChars="200"/>
        <w:textAlignment w:val="auto"/>
        <w:rPr>
          <w:rFonts w:hint="default" w:ascii="Times New Roman" w:hAnsi="Times New Roman" w:eastAsia="仿宋" w:cs="Times New Roman"/>
          <w:color w:val="000000" w:themeColor="text1"/>
          <w:sz w:val="32"/>
          <w:szCs w:val="32"/>
          <w14:textFill>
            <w14:solidFill>
              <w14:schemeClr w14:val="tx1"/>
            </w14:solidFill>
          </w14:textFill>
        </w:rPr>
      </w:pPr>
      <w:r>
        <w:rPr>
          <w:rFonts w:hint="default" w:ascii="Times New Roman" w:hAnsi="Times New Roman" w:eastAsia="仿宋" w:cs="Times New Roman"/>
          <w:color w:val="000000" w:themeColor="text1"/>
          <w:sz w:val="32"/>
          <w:szCs w:val="32"/>
          <w14:textFill>
            <w14:solidFill>
              <w14:schemeClr w14:val="tx1"/>
            </w14:solidFill>
          </w14:textFill>
        </w:rPr>
        <w:fldChar w:fldCharType="end"/>
      </w:r>
    </w:p>
    <w:p>
      <w:pPr>
        <w:pageBreakBefore w:val="0"/>
        <w:kinsoku/>
        <w:wordWrap/>
        <w:overflowPunct/>
        <w:topLinePunct w:val="0"/>
        <w:bidi w:val="0"/>
        <w:snapToGrid/>
        <w:spacing w:line="590" w:lineRule="exact"/>
        <w:ind w:firstLine="640" w:firstLineChars="200"/>
        <w:textAlignment w:val="auto"/>
        <w:rPr>
          <w:rFonts w:hint="default" w:ascii="Times New Roman" w:hAnsi="Times New Roman" w:eastAsia="仿宋_GB2312" w:cs="Times New Roman"/>
          <w:b w:val="0"/>
          <w:bCs w:val="0"/>
          <w:color w:val="000000" w:themeColor="text1"/>
          <w:sz w:val="32"/>
          <w:szCs w:val="32"/>
          <w14:textFill>
            <w14:solidFill>
              <w14:schemeClr w14:val="tx1"/>
            </w14:solidFill>
          </w14:textFill>
        </w:rPr>
      </w:pPr>
    </w:p>
    <w:p>
      <w:pPr>
        <w:pStyle w:val="3"/>
        <w:keepNext/>
        <w:keepLines/>
        <w:pageBreakBefore w:val="0"/>
        <w:widowControl w:val="0"/>
        <w:kinsoku/>
        <w:wordWrap/>
        <w:overflowPunct/>
        <w:topLinePunct w:val="0"/>
        <w:autoSpaceDE/>
        <w:autoSpaceDN/>
        <w:bidi w:val="0"/>
        <w:adjustRightInd/>
        <w:snapToGrid/>
        <w:spacing w:before="0" w:after="0" w:line="590" w:lineRule="exact"/>
        <w:ind w:firstLine="0" w:firstLineChars="0"/>
        <w:textAlignment w:val="auto"/>
        <w:rPr>
          <w:rFonts w:hint="default" w:ascii="Times New Roman" w:hAnsi="Times New Roman" w:eastAsia="方正小标宋简体" w:cs="Times New Roman"/>
          <w:b w:val="0"/>
          <w:bCs/>
          <w:color w:val="000000" w:themeColor="text1"/>
          <w:sz w:val="44"/>
          <w:szCs w:val="44"/>
          <w14:textFill>
            <w14:solidFill>
              <w14:schemeClr w14:val="tx1"/>
            </w14:solidFill>
          </w14:textFill>
        </w:rPr>
        <w:sectPr>
          <w:footerReference r:id="rId4" w:type="default"/>
          <w:pgSz w:w="11906" w:h="16838"/>
          <w:pgMar w:top="2098" w:right="1587" w:bottom="2098" w:left="1587" w:header="851" w:footer="992" w:gutter="0"/>
          <w:pgNumType w:fmt="decimal" w:start="1"/>
          <w:cols w:space="720" w:num="1"/>
          <w:docGrid w:type="linesAndChars" w:linePitch="314" w:charSpace="0"/>
        </w:sectPr>
      </w:pPr>
      <w:bookmarkStart w:id="0" w:name="_Toc112677970"/>
    </w:p>
    <w:p>
      <w:pPr>
        <w:pStyle w:val="3"/>
        <w:keepNext/>
        <w:keepLines/>
        <w:pageBreakBefore w:val="0"/>
        <w:widowControl w:val="0"/>
        <w:kinsoku/>
        <w:wordWrap/>
        <w:overflowPunct/>
        <w:topLinePunct w:val="0"/>
        <w:autoSpaceDE/>
        <w:autoSpaceDN/>
        <w:bidi w:val="0"/>
        <w:adjustRightInd/>
        <w:snapToGrid/>
        <w:spacing w:before="0" w:after="0" w:line="590" w:lineRule="exact"/>
        <w:ind w:firstLine="0" w:firstLineChars="0"/>
        <w:jc w:val="center"/>
        <w:textAlignment w:val="auto"/>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pPr>
      <w:r>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t>前   言</w:t>
      </w:r>
      <w:bookmarkEnd w:id="0"/>
    </w:p>
    <w:p>
      <w:pPr>
        <w:pageBreakBefore w:val="0"/>
        <w:kinsoku/>
        <w:wordWrap/>
        <w:overflowPunct/>
        <w:topLinePunct w:val="0"/>
        <w:bidi w:val="0"/>
        <w:snapToGrid/>
        <w:spacing w:line="59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为全面深入贯彻落实</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党的二十大精神</w:t>
      </w:r>
      <w:r>
        <w:rPr>
          <w:rFonts w:hint="default" w:ascii="Times New Roman" w:hAnsi="Times New Roman" w:eastAsia="方正仿宋_GBK" w:cs="Times New Roman"/>
          <w:color w:val="000000" w:themeColor="text1"/>
          <w:sz w:val="32"/>
          <w:szCs w:val="32"/>
          <w14:textFill>
            <w14:solidFill>
              <w14:schemeClr w14:val="tx1"/>
            </w14:solidFill>
          </w14:textFill>
        </w:rPr>
        <w:t>，深入学习贯彻习</w:t>
      </w:r>
      <w:r>
        <w:rPr>
          <w:rFonts w:hint="eastAsia" w:eastAsia="方正仿宋_GBK" w:cs="Times New Roman"/>
          <w:color w:val="000000" w:themeColor="text1"/>
          <w:sz w:val="32"/>
          <w:szCs w:val="32"/>
          <w:lang w:eastAsia="zh-CN"/>
          <w14:textFill>
            <w14:solidFill>
              <w14:schemeClr w14:val="tx1"/>
            </w14:solidFill>
          </w14:textFill>
        </w:rPr>
        <w:t>近平</w:t>
      </w:r>
      <w:bookmarkStart w:id="45" w:name="_GoBack"/>
      <w:bookmarkEnd w:id="45"/>
      <w:r>
        <w:rPr>
          <w:rFonts w:hint="default" w:ascii="Times New Roman" w:hAnsi="Times New Roman" w:eastAsia="方正仿宋_GBK" w:cs="Times New Roman"/>
          <w:color w:val="000000" w:themeColor="text1"/>
          <w:sz w:val="32"/>
          <w:szCs w:val="32"/>
          <w14:textFill>
            <w14:solidFill>
              <w14:schemeClr w14:val="tx1"/>
            </w14:solidFill>
          </w14:textFill>
        </w:rPr>
        <w:t>总书记关于防灾减灾的系列重要论述和考察安徽重要讲话精神，依据《地质灾害防治条例》《国务院关于加强地质灾害防治工作的决定》《石台县国民经济和社会发展第十四个五年规划和二〇三五年远景目标纲要》，结合省自然资源厅《安徽省地质灾害防治“十四五”规划（2021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2025年）》《安徽省地质灾害防治行动实施方案》及市自然资源和规划局《池州市地质灾害防治“十四五”规划（2021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2025年）》，编制《石台县地质灾害防治“十四五”规划（2021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2025年）》（以下简称《规划》），旨在构建科学高效的地质灾害防治体系，有效减轻或规避地质灾害风险，最大限度地减少人员伤亡和财产损失，为全县国民经济和社会可持续发展提供地质安全保障。</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《规划》适用范围为石台县行政区域内自然因素或者人为活动引发的危害人民生命和财产安全的山体崩塌、滑坡、泥石流、地面塌陷等有关的地质灾害。</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《规划》的核心内容主要为健全地质灾害防治体系，提升地质灾害综合防治能力。</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《规划》基准年为2020年，规划期为2021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2025年。</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sectPr>
          <w:footerReference r:id="rId5" w:type="default"/>
          <w:pgSz w:w="11906" w:h="16838"/>
          <w:pgMar w:top="2098" w:right="1587" w:bottom="2098" w:left="1587" w:header="851" w:footer="992" w:gutter="0"/>
          <w:pgNumType w:fmt="decimal" w:start="1"/>
          <w:cols w:space="720" w:num="1"/>
          <w:docGrid w:type="linesAndChars" w:linePitch="314" w:charSpace="0"/>
        </w:sectPr>
      </w:pPr>
    </w:p>
    <w:p>
      <w:pPr>
        <w:pStyle w:val="3"/>
        <w:keepNext/>
        <w:keepLines/>
        <w:pageBreakBefore w:val="0"/>
        <w:widowControl w:val="0"/>
        <w:kinsoku/>
        <w:wordWrap/>
        <w:overflowPunct/>
        <w:topLinePunct w:val="0"/>
        <w:autoSpaceDE/>
        <w:autoSpaceDN/>
        <w:bidi w:val="0"/>
        <w:adjustRightInd/>
        <w:snapToGrid/>
        <w:spacing w:before="0" w:after="0" w:line="590" w:lineRule="exact"/>
        <w:ind w:firstLine="0" w:firstLineChars="0"/>
        <w:jc w:val="center"/>
        <w:textAlignment w:val="auto"/>
        <w:rPr>
          <w:rFonts w:hint="default" w:ascii="方正小标宋_GBK" w:hAnsi="方正小标宋_GBK" w:eastAsia="方正小标宋_GBK" w:cs="方正小标宋_GBK"/>
          <w:b w:val="0"/>
          <w:bCs/>
          <w:color w:val="000000" w:themeColor="text1"/>
          <w:sz w:val="40"/>
          <w:szCs w:val="40"/>
          <w14:textFill>
            <w14:solidFill>
              <w14:schemeClr w14:val="tx1"/>
            </w14:solidFill>
          </w14:textFill>
        </w:rPr>
      </w:pPr>
      <w:bookmarkStart w:id="1" w:name="_Toc112677971"/>
      <w:r>
        <w:rPr>
          <w:rFonts w:hint="default" w:ascii="方正小标宋_GBK" w:hAnsi="方正小标宋_GBK" w:eastAsia="方正小标宋_GBK" w:cs="方正小标宋_GBK"/>
          <w:b w:val="0"/>
          <w:bCs/>
          <w:color w:val="000000" w:themeColor="text1"/>
          <w:sz w:val="40"/>
          <w:szCs w:val="40"/>
          <w14:textFill>
            <w14:solidFill>
              <w14:schemeClr w14:val="tx1"/>
            </w14:solidFill>
          </w14:textFill>
        </w:rPr>
        <w:t>地质灾害现状与防治形势</w:t>
      </w:r>
      <w:bookmarkEnd w:id="1"/>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楷体_GB2312" w:cs="Times New Roman"/>
          <w:b/>
          <w:bCs/>
          <w:color w:val="000000" w:themeColor="text1"/>
          <w14:textFill>
            <w14:solidFill>
              <w14:schemeClr w14:val="tx1"/>
            </w14:solidFill>
          </w14:textFill>
        </w:rPr>
      </w:pPr>
      <w:bookmarkStart w:id="2" w:name="_Toc108448330"/>
      <w:bookmarkStart w:id="3" w:name="_Toc112677972"/>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b w:val="0"/>
          <w:bCs w:val="0"/>
          <w:color w:val="000000" w:themeColor="text1"/>
          <w:lang w:eastAsia="zh-CN"/>
          <w14:textFill>
            <w14:solidFill>
              <w14:schemeClr w14:val="tx1"/>
            </w14:solidFill>
          </w14:textFill>
        </w:rPr>
      </w:pPr>
      <w:r>
        <w:rPr>
          <w:rFonts w:hint="eastAsia" w:ascii="方正黑体_GBK" w:hAnsi="方正黑体_GBK" w:eastAsia="方正黑体_GBK" w:cs="方正黑体_GBK"/>
          <w:b w:val="0"/>
          <w:bCs w:val="0"/>
          <w:color w:val="000000" w:themeColor="text1"/>
          <w:lang w:eastAsia="zh-CN"/>
          <w14:textFill>
            <w14:solidFill>
              <w14:schemeClr w14:val="tx1"/>
            </w14:solidFill>
          </w14:textFill>
        </w:rPr>
        <w:t>一、</w:t>
      </w:r>
      <w:r>
        <w:rPr>
          <w:rFonts w:hint="eastAsia" w:ascii="方正黑体_GBK" w:hAnsi="方正黑体_GBK" w:eastAsia="方正黑体_GBK" w:cs="方正黑体_GBK"/>
          <w:b w:val="0"/>
          <w:bCs w:val="0"/>
          <w:color w:val="000000" w:themeColor="text1"/>
          <w14:textFill>
            <w14:solidFill>
              <w14:schemeClr w14:val="tx1"/>
            </w14:solidFill>
          </w14:textFill>
        </w:rPr>
        <w:t>地质灾害现状</w:t>
      </w:r>
      <w:bookmarkEnd w:id="2"/>
      <w:bookmarkEnd w:id="3"/>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石台县隶属于安徽省池州市，位于东经117°12′</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117°59′、北纬29°59′</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30°24′之间，南与黄山市祁门县、黟县相连，东与黄山区接壤，西与东至县毗邻，北分别与贵池区、青阳县为邻，辖6镇2乡、78个行政村和6个居委会，县域面积1413平方公里。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石台县地处皖南山区，</w:t>
      </w:r>
      <w:r>
        <w:rPr>
          <w:rFonts w:hint="default" w:ascii="Times New Roman" w:hAnsi="Times New Roman" w:eastAsia="方正仿宋_GBK" w:cs="Times New Roman"/>
          <w:color w:val="000000" w:themeColor="text1"/>
          <w:spacing w:val="2"/>
          <w:sz w:val="32"/>
          <w:szCs w:val="32"/>
          <w14:textFill>
            <w14:solidFill>
              <w14:schemeClr w14:val="tx1"/>
            </w14:solidFill>
          </w14:textFill>
        </w:rPr>
        <w:t>地形地貌、地质构造条件复杂，极端天气气候事件多发，降水在时间空间上分布不均，各类人类活动对地质环境影响增大，地质灾害呈多发频发态势，</w:t>
      </w:r>
      <w:r>
        <w:rPr>
          <w:rFonts w:hint="default" w:ascii="Times New Roman" w:hAnsi="Times New Roman" w:eastAsia="方正仿宋_GBK" w:cs="Times New Roman"/>
          <w:color w:val="000000" w:themeColor="text1"/>
          <w:sz w:val="32"/>
          <w:szCs w:val="32"/>
          <w14:textFill>
            <w14:solidFill>
              <w14:schemeClr w14:val="tx1"/>
            </w14:solidFill>
          </w14:textFill>
        </w:rPr>
        <w:t>是安徽省地质灾害易发多发地区之一，防治形势严峻。截至2020年底，全县现有地质灾害隐患点30处，威胁的户数为70户，威胁人口</w:t>
      </w:r>
      <w:r>
        <w:rPr>
          <w:rFonts w:hint="default" w:ascii="Times New Roman" w:hAnsi="Times New Roman" w:eastAsia="方正仿宋_GBK" w:cs="Times New Roman"/>
          <w:color w:val="000000" w:themeColor="text1"/>
          <w:spacing w:val="2"/>
          <w:sz w:val="32"/>
          <w:szCs w:val="32"/>
          <w14:textFill>
            <w14:solidFill>
              <w14:schemeClr w14:val="tx1"/>
            </w14:solidFill>
          </w14:textFill>
        </w:rPr>
        <w:t>218人，财产1012万元。按地质灾害类型分，崩塌18处、滑坡10处、泥石流1处、地面塌陷1处。按险情等级分，30处均为小型。按稳定程度分</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不稳定24处，基本稳定6处。按行政区域分，仁里镇3处，七都镇4处，横渡镇8处，大演乡5处，仙寓镇6处，丁香镇3处，小河镇1处。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000000" w:themeColor="text1"/>
          <w:lang w:eastAsia="zh-CN"/>
          <w14:textFill>
            <w14:solidFill>
              <w14:schemeClr w14:val="tx1"/>
            </w14:solidFill>
          </w14:textFill>
        </w:rPr>
      </w:pPr>
      <w:bookmarkStart w:id="4" w:name="_Toc339347713"/>
      <w:bookmarkStart w:id="5" w:name="_Toc339438275"/>
      <w:bookmarkStart w:id="6" w:name="_Toc112677973"/>
      <w:bookmarkStart w:id="7" w:name="_Toc108448331"/>
      <w:r>
        <w:rPr>
          <w:rFonts w:hint="default" w:ascii="方正黑体_GBK" w:hAnsi="方正黑体_GBK" w:eastAsia="方正黑体_GBK" w:cs="方正黑体_GBK"/>
          <w:b w:val="0"/>
          <w:bCs w:val="0"/>
          <w:color w:val="000000" w:themeColor="text1"/>
          <w:lang w:eastAsia="zh-CN"/>
          <w14:textFill>
            <w14:solidFill>
              <w14:schemeClr w14:val="tx1"/>
            </w14:solidFill>
          </w14:textFill>
        </w:rPr>
        <w:t>二、“十三五”防治</w:t>
      </w:r>
      <w:bookmarkEnd w:id="4"/>
      <w:bookmarkEnd w:id="5"/>
      <w:r>
        <w:rPr>
          <w:rFonts w:hint="default" w:ascii="方正黑体_GBK" w:hAnsi="方正黑体_GBK" w:eastAsia="方正黑体_GBK" w:cs="方正黑体_GBK"/>
          <w:b w:val="0"/>
          <w:bCs w:val="0"/>
          <w:color w:val="000000" w:themeColor="text1"/>
          <w:lang w:eastAsia="zh-CN"/>
          <w14:textFill>
            <w14:solidFill>
              <w14:schemeClr w14:val="tx1"/>
            </w14:solidFill>
          </w14:textFill>
        </w:rPr>
        <w:t>成效</w:t>
      </w:r>
      <w:bookmarkEnd w:id="6"/>
      <w:bookmarkEnd w:id="7"/>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石台县地质灾害“十三五”期间规划防治工作成效显著，通过开展搬迁避让和工程治理等工作，截至2020年底，全县受地质灾害威胁的人数由“十二五”末的362人</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下</w:t>
      </w:r>
      <w:r>
        <w:rPr>
          <w:rFonts w:hint="default" w:ascii="Times New Roman" w:hAnsi="Times New Roman" w:eastAsia="方正仿宋_GBK" w:cs="Times New Roman"/>
          <w:color w:val="000000" w:themeColor="text1"/>
          <w:sz w:val="32"/>
          <w:szCs w:val="32"/>
          <w14:textFill>
            <w14:solidFill>
              <w14:schemeClr w14:val="tx1"/>
            </w14:solidFill>
          </w14:textFill>
        </w:rPr>
        <w:t>降至218人，减少144人，减少39.78%。全县共发生灾害75起，较“十二五”期间增加275%（“十二五”期间20起）；直接经济损失28.7万元，较“十二五”期间减少76.8%（“十二五”期间123.8万元）。各级领导</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高度</w:t>
      </w:r>
      <w:r>
        <w:rPr>
          <w:rFonts w:hint="default" w:ascii="Times New Roman" w:hAnsi="Times New Roman" w:eastAsia="方正仿宋_GBK" w:cs="Times New Roman"/>
          <w:color w:val="000000" w:themeColor="text1"/>
          <w:sz w:val="32"/>
          <w:szCs w:val="32"/>
          <w14:textFill>
            <w14:solidFill>
              <w14:schemeClr w14:val="tx1"/>
            </w14:solidFill>
          </w14:textFill>
        </w:rPr>
        <w:t>重视，各项防治措施得力，实现了地质灾害“零死亡”（“十二五”期间因灾死亡1人）。</w:t>
      </w:r>
    </w:p>
    <w:p>
      <w:pPr>
        <w:keepNext w:val="0"/>
        <w:keepLines w:val="0"/>
        <w:pageBreakBefore w:val="0"/>
        <w:widowControl w:val="0"/>
        <w:kinsoku/>
        <w:wordWrap/>
        <w:overflowPunct/>
        <w:topLinePunct w:val="0"/>
        <w:autoSpaceDE w:val="0"/>
        <w:autoSpaceDN w:val="0"/>
        <w:bidi w:val="0"/>
        <w:adjustRightInd/>
        <w:snapToGrid/>
        <w:spacing w:line="590" w:lineRule="exact"/>
        <w:ind w:firstLine="648" w:firstLineChars="200"/>
        <w:jc w:val="both"/>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eastAsia" w:ascii="方正楷体_GBK" w:hAnsi="方正楷体_GBK" w:eastAsia="方正楷体_GBK" w:cs="方正楷体_GBK"/>
          <w:b/>
          <w:color w:val="000000" w:themeColor="text1"/>
          <w:spacing w:val="2"/>
          <w:kern w:val="0"/>
          <w:sz w:val="32"/>
          <w:szCs w:val="32"/>
          <w:lang w:eastAsia="zh-CN"/>
          <w14:textFill>
            <w14:solidFill>
              <w14:schemeClr w14:val="tx1"/>
            </w14:solidFill>
          </w14:textFill>
        </w:rPr>
        <w:t>（一）</w:t>
      </w:r>
      <w:r>
        <w:rPr>
          <w:rFonts w:hint="eastAsia" w:ascii="方正楷体_GBK" w:hAnsi="方正楷体_GBK" w:eastAsia="方正楷体_GBK" w:cs="方正楷体_GBK"/>
          <w:b/>
          <w:color w:val="000000" w:themeColor="text1"/>
          <w:spacing w:val="2"/>
          <w:kern w:val="0"/>
          <w:sz w:val="32"/>
          <w:szCs w:val="32"/>
          <w14:textFill>
            <w14:solidFill>
              <w14:schemeClr w14:val="tx1"/>
            </w14:solidFill>
          </w14:textFill>
        </w:rPr>
        <w:t>地质灾害调查评价稳步推进。</w:t>
      </w:r>
      <w:r>
        <w:rPr>
          <w:rFonts w:hint="default" w:ascii="Times New Roman" w:hAnsi="Times New Roman" w:eastAsia="方正仿宋_GBK" w:cs="Times New Roman"/>
          <w:color w:val="000000" w:themeColor="text1"/>
          <w:spacing w:val="2"/>
          <w:sz w:val="32"/>
          <w:szCs w:val="32"/>
          <w14:textFill>
            <w14:solidFill>
              <w14:schemeClr w14:val="tx1"/>
            </w14:solidFill>
          </w14:textFill>
        </w:rPr>
        <w:t>“十三五”期间，</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我县</w:t>
      </w:r>
      <w:r>
        <w:rPr>
          <w:rFonts w:hint="default" w:ascii="Times New Roman" w:hAnsi="Times New Roman" w:eastAsia="方正仿宋_GBK" w:cs="Times New Roman"/>
          <w:color w:val="000000" w:themeColor="text1"/>
          <w:spacing w:val="2"/>
          <w:sz w:val="32"/>
          <w:szCs w:val="32"/>
          <w14:textFill>
            <w14:solidFill>
              <w14:schemeClr w14:val="tx1"/>
            </w14:solidFill>
          </w14:textFill>
        </w:rPr>
        <w:t>委托地勘队伍常年开展汛前调查、汛中巡查和汛后核查工作，发现并新增地质灾害隐患点17处。2019年配合全省开展切坡建房隐患排查，全县共查出切坡建房隐患点145处，其中8处已纳入地质灾害隐患点数据库进行管理，剩余137处按照属地化已交由地方乡镇政府管理。</w:t>
      </w:r>
    </w:p>
    <w:p>
      <w:pPr>
        <w:keepNext w:val="0"/>
        <w:keepLines w:val="0"/>
        <w:pageBreakBefore w:val="0"/>
        <w:widowControl w:val="0"/>
        <w:kinsoku/>
        <w:wordWrap/>
        <w:overflowPunct/>
        <w:topLinePunct w:val="0"/>
        <w:autoSpaceDE w:val="0"/>
        <w:autoSpaceDN w:val="0"/>
        <w:bidi w:val="0"/>
        <w:adjustRightInd/>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kern w:val="0"/>
          <w:sz w:val="32"/>
          <w:szCs w:val="32"/>
          <w:lang w:eastAsia="zh-CN"/>
          <w14:textFill>
            <w14:solidFill>
              <w14:schemeClr w14:val="tx1"/>
            </w14:solidFill>
          </w14:textFill>
        </w:rPr>
        <w:t>（二）地质灾害监测预警不断完善。</w:t>
      </w:r>
      <w:r>
        <w:rPr>
          <w:rFonts w:hint="default" w:ascii="Times New Roman" w:hAnsi="Times New Roman" w:eastAsia="方正仿宋_GBK" w:cs="Times New Roman"/>
          <w:color w:val="000000" w:themeColor="text1"/>
          <w:spacing w:val="2"/>
          <w:sz w:val="32"/>
          <w:szCs w:val="32"/>
          <w14:textFill>
            <w14:solidFill>
              <w14:schemeClr w14:val="tx1"/>
            </w14:solidFill>
          </w14:textFill>
        </w:rPr>
        <w:t>建立县、乡镇、村</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三</w:t>
      </w:r>
      <w:r>
        <w:rPr>
          <w:rFonts w:hint="default" w:ascii="Times New Roman" w:hAnsi="Times New Roman" w:eastAsia="方正仿宋_GBK" w:cs="Times New Roman"/>
          <w:color w:val="000000" w:themeColor="text1"/>
          <w:spacing w:val="2"/>
          <w:sz w:val="32"/>
          <w:szCs w:val="32"/>
          <w14:textFill>
            <w14:solidFill>
              <w14:schemeClr w14:val="tx1"/>
            </w14:solidFill>
          </w14:textFill>
        </w:rPr>
        <w:t>级地质灾害群测群防网络，建成了由60人组成的地质灾害群测群防监测队伍，</w:t>
      </w:r>
      <w:bookmarkStart w:id="8" w:name="_Hlk70584250"/>
      <w:r>
        <w:rPr>
          <w:rFonts w:hint="default" w:ascii="Times New Roman" w:hAnsi="Times New Roman" w:eastAsia="方正仿宋_GBK" w:cs="Times New Roman"/>
          <w:color w:val="000000" w:themeColor="text1"/>
          <w:spacing w:val="2"/>
          <w:sz w:val="32"/>
          <w:szCs w:val="32"/>
          <w14:textFill>
            <w14:solidFill>
              <w14:schemeClr w14:val="tx1"/>
            </w14:solidFill>
          </w14:textFill>
        </w:rPr>
        <w:t>并逐步由群测群防向群专结合转变</w:t>
      </w:r>
      <w:bookmarkEnd w:id="8"/>
      <w:r>
        <w:rPr>
          <w:rFonts w:hint="default" w:ascii="Times New Roman" w:hAnsi="Times New Roman" w:eastAsia="方正仿宋_GBK" w:cs="Times New Roman"/>
          <w:color w:val="000000" w:themeColor="text1"/>
          <w:spacing w:val="2"/>
          <w:sz w:val="32"/>
          <w:szCs w:val="32"/>
          <w14:textFill>
            <w14:solidFill>
              <w14:schemeClr w14:val="tx1"/>
            </w14:solidFill>
          </w14:textFill>
        </w:rPr>
        <w:t xml:space="preserve">，覆盖全县范围内每个地质灾害隐患点。全县中型以上地质灾害隐患点安装雨量站2处，提升了监测预警的时效性。“十三五”期间，通过省级预警平台共转发地质灾害黄色以上预警55次，其中红色预警1次、橙色预警13次、黄色预警41次；根据预警信息，及时转移受威胁群众846人次，有效保障了人民群众生命和财产安全。 </w:t>
      </w:r>
    </w:p>
    <w:p>
      <w:pPr>
        <w:keepNext w:val="0"/>
        <w:keepLines w:val="0"/>
        <w:pageBreakBefore w:val="0"/>
        <w:widowControl w:val="0"/>
        <w:kinsoku/>
        <w:wordWrap/>
        <w:overflowPunct/>
        <w:topLinePunct w:val="0"/>
        <w:autoSpaceDE/>
        <w:autoSpaceDN/>
        <w:bidi w:val="0"/>
        <w:adjustRightInd/>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kern w:val="0"/>
          <w:sz w:val="32"/>
          <w:szCs w:val="32"/>
          <w:lang w:eastAsia="zh-CN"/>
          <w14:textFill>
            <w14:solidFill>
              <w14:schemeClr w14:val="tx1"/>
            </w14:solidFill>
          </w14:textFill>
        </w:rPr>
        <w:t>（三）地质灾害综合治理成效显著。</w:t>
      </w:r>
      <w:r>
        <w:rPr>
          <w:rFonts w:hint="default" w:ascii="Times New Roman" w:hAnsi="Times New Roman" w:eastAsia="方正仿宋_GBK" w:cs="Times New Roman"/>
          <w:color w:val="000000" w:themeColor="text1"/>
          <w:spacing w:val="2"/>
          <w:sz w:val="32"/>
          <w:szCs w:val="32"/>
          <w14:textFill>
            <w14:solidFill>
              <w14:schemeClr w14:val="tx1"/>
            </w14:solidFill>
          </w14:textFill>
        </w:rPr>
        <w:t>“十三五”期间，全县共投入地质灾害防治资金565.8万元。“十三五”申报省级地质灾害防治项目8处；即实施工程治理3处，排危除危3处，实施搬迁避让2处，其中5户18人彻底摆脱地质灾害威胁。目前，通过治理、监测和反复核查已注销11处地质灾害隐患点，近年调查评价新增地质灾害隐患点4处。现有各类地质灾害（隐患）点30处。</w:t>
      </w:r>
    </w:p>
    <w:p>
      <w:pPr>
        <w:keepNext w:val="0"/>
        <w:keepLines w:val="0"/>
        <w:pageBreakBefore w:val="0"/>
        <w:widowControl/>
        <w:kinsoku/>
        <w:wordWrap/>
        <w:overflowPunct/>
        <w:topLinePunct w:val="0"/>
        <w:autoSpaceDE/>
        <w:autoSpaceDN/>
        <w:bidi w:val="0"/>
        <w:adjustRightInd/>
        <w:snapToGrid/>
        <w:spacing w:line="590" w:lineRule="exact"/>
        <w:ind w:firstLine="648" w:firstLineChars="200"/>
        <w:jc w:val="both"/>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kern w:val="0"/>
          <w:sz w:val="32"/>
          <w:szCs w:val="32"/>
          <w:lang w:eastAsia="zh-CN"/>
          <w14:textFill>
            <w14:solidFill>
              <w14:schemeClr w14:val="tx1"/>
            </w14:solidFill>
          </w14:textFill>
        </w:rPr>
        <w:t>（四）地质灾害防御能力显著提高。</w:t>
      </w:r>
      <w:r>
        <w:rPr>
          <w:rFonts w:hint="default" w:ascii="Times New Roman" w:hAnsi="Times New Roman" w:eastAsia="方正仿宋_GBK" w:cs="Times New Roman"/>
          <w:color w:val="000000" w:themeColor="text1"/>
          <w:spacing w:val="2"/>
          <w:sz w:val="32"/>
          <w:szCs w:val="32"/>
          <w14:textFill>
            <w14:solidFill>
              <w14:schemeClr w14:val="tx1"/>
            </w14:solidFill>
          </w14:textFill>
        </w:rPr>
        <w:t>成立了地质灾害应急测绘组、应急技术指导工作组，选派2名地质队员包乡</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入村</w:t>
      </w:r>
      <w:r>
        <w:rPr>
          <w:rFonts w:hint="default" w:ascii="Times New Roman" w:hAnsi="Times New Roman" w:eastAsia="方正仿宋_GBK" w:cs="Times New Roman"/>
          <w:color w:val="000000" w:themeColor="text1"/>
          <w:spacing w:val="2"/>
          <w:sz w:val="32"/>
          <w:szCs w:val="32"/>
          <w14:textFill>
            <w14:solidFill>
              <w14:schemeClr w14:val="tx1"/>
            </w14:solidFill>
          </w14:textFill>
        </w:rPr>
        <w:t>，技术支撑能力显著提升。强化汛期24小时值班值守，并为值班人员配备必要的值班物资。组织宣传培训4场，培训人数160人，发放地质灾害“防灾明白卡”和“避险明白卡”740份，发放宣传光盘及宣传材料800份，开展避险转移演练2场，参演人员680人次，群众防灾意识和自救、互救能力显著提升。</w:t>
      </w:r>
    </w:p>
    <w:p>
      <w:pPr>
        <w:keepNext w:val="0"/>
        <w:keepLines w:val="0"/>
        <w:pageBreakBefore w:val="0"/>
        <w:widowControl w:val="0"/>
        <w:kinsoku/>
        <w:wordWrap/>
        <w:overflowPunct/>
        <w:topLinePunct w:val="0"/>
        <w:autoSpaceDE/>
        <w:autoSpaceDN/>
        <w:bidi w:val="0"/>
        <w:adjustRightInd/>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kern w:val="0"/>
          <w:sz w:val="32"/>
          <w:szCs w:val="32"/>
          <w:lang w:eastAsia="zh-CN"/>
          <w14:textFill>
            <w14:solidFill>
              <w14:schemeClr w14:val="tx1"/>
            </w14:solidFill>
          </w14:textFill>
        </w:rPr>
        <w:t>（五）地质灾害防治信息化水平明显提升。</w:t>
      </w:r>
      <w:r>
        <w:rPr>
          <w:rFonts w:hint="default" w:ascii="Times New Roman" w:hAnsi="Times New Roman" w:eastAsia="方正仿宋_GBK" w:cs="Times New Roman"/>
          <w:color w:val="000000" w:themeColor="text1"/>
          <w:spacing w:val="2"/>
          <w:sz w:val="32"/>
          <w:szCs w:val="32"/>
          <w14:textFill>
            <w14:solidFill>
              <w14:schemeClr w14:val="tx1"/>
            </w14:solidFill>
          </w14:textFill>
        </w:rPr>
        <w:t>完成地质灾害隐患点数据库更新和切坡建房数据库建设，借助微信公众号推进县级地质灾害预警平台的搭建，不断加快地质灾害信息管理、监测预警和指挥调度三大系统的集成，智慧防灾工作稳步推进，信息化服务功能日趋完善。</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b w:val="0"/>
          <w:bCs w:val="0"/>
          <w:color w:val="000000" w:themeColor="text1"/>
          <w:lang w:eastAsia="zh-CN"/>
          <w14:textFill>
            <w14:solidFill>
              <w14:schemeClr w14:val="tx1"/>
            </w14:solidFill>
          </w14:textFill>
        </w:rPr>
      </w:pPr>
      <w:bookmarkStart w:id="9" w:name="_Toc112677974"/>
      <w:bookmarkStart w:id="10" w:name="_Toc108448332"/>
      <w:r>
        <w:rPr>
          <w:rFonts w:hint="default" w:ascii="方正黑体_GBK" w:hAnsi="方正黑体_GBK" w:eastAsia="方正黑体_GBK" w:cs="方正黑体_GBK"/>
          <w:b w:val="0"/>
          <w:bCs w:val="0"/>
          <w:color w:val="000000" w:themeColor="text1"/>
          <w:lang w:eastAsia="zh-CN"/>
          <w14:textFill>
            <w14:solidFill>
              <w14:schemeClr w14:val="tx1"/>
            </w14:solidFill>
          </w14:textFill>
        </w:rPr>
        <w:t>三、“十四五”防治形势</w:t>
      </w:r>
      <w:bookmarkEnd w:id="9"/>
      <w:bookmarkEnd w:id="10"/>
    </w:p>
    <w:p>
      <w:pPr>
        <w:keepNext w:val="0"/>
        <w:keepLines w:val="0"/>
        <w:pageBreakBefore w:val="0"/>
        <w:widowControl/>
        <w:kinsoku/>
        <w:wordWrap/>
        <w:overflowPunct/>
        <w:topLinePunct w:val="0"/>
        <w:bidi w:val="0"/>
        <w:adjustRightInd/>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2018年10月，习近平总书记在中央财经委员会第三次会议上指出，要建立高效科学的自然灾害防治体系，提高全社会自然灾害防治能力，为保护人民群众生命财产安全和国家安全提供有力保障。2020年8月18</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日—</w:t>
      </w:r>
      <w:r>
        <w:rPr>
          <w:rFonts w:hint="default" w:ascii="Times New Roman" w:hAnsi="Times New Roman" w:eastAsia="方正仿宋_GBK" w:cs="Times New Roman"/>
          <w:color w:val="000000" w:themeColor="text1"/>
          <w:spacing w:val="2"/>
          <w:sz w:val="32"/>
          <w:szCs w:val="32"/>
          <w14:textFill>
            <w14:solidFill>
              <w14:schemeClr w14:val="tx1"/>
            </w14:solidFill>
          </w14:textFill>
        </w:rPr>
        <w:t>21日，习近平总书记又亲临安徽考察并作出重要讲话，要求做好防汛救灾和灾后恢复重建工作。</w:t>
      </w:r>
    </w:p>
    <w:p>
      <w:pPr>
        <w:keepNext w:val="0"/>
        <w:keepLines w:val="0"/>
        <w:pageBreakBefore w:val="0"/>
        <w:widowControl/>
        <w:kinsoku/>
        <w:wordWrap/>
        <w:overflowPunct/>
        <w:topLinePunct w:val="0"/>
        <w:bidi w:val="0"/>
        <w:adjustRightInd/>
        <w:snapToGrid/>
        <w:spacing w:line="590" w:lineRule="exact"/>
        <w:ind w:firstLine="648" w:firstLineChars="200"/>
        <w:jc w:val="both"/>
        <w:textAlignment w:val="auto"/>
        <w:rPr>
          <w:rFonts w:hint="default" w:ascii="Times New Roman" w:hAnsi="Times New Roman" w:eastAsia="仿宋_GB2312"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目前，全县地质灾害防治工作还存在不少问题和薄弱环节，“十四五”防灾工作仍面临诸多挑战。</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一是</w:t>
      </w:r>
      <w:r>
        <w:rPr>
          <w:rFonts w:hint="default" w:ascii="Times New Roman" w:hAnsi="Times New Roman" w:eastAsia="方正仿宋_GBK" w:cs="Times New Roman"/>
          <w:b w:val="0"/>
          <w:bCs w:val="0"/>
          <w:color w:val="000000" w:themeColor="text1"/>
          <w:spacing w:val="2"/>
          <w:sz w:val="32"/>
          <w:szCs w:val="32"/>
          <w14:textFill>
            <w14:solidFill>
              <w14:schemeClr w14:val="tx1"/>
            </w14:solidFill>
          </w14:textFill>
        </w:rPr>
        <w:t>地质灾害隐患识别能力有待提高。地质灾害生成机理复杂，具有很强</w:t>
      </w:r>
      <w:r>
        <w:rPr>
          <w:rFonts w:hint="default" w:ascii="Times New Roman" w:hAnsi="Times New Roman" w:eastAsia="方正仿宋_GBK" w:cs="Times New Roman"/>
          <w:color w:val="000000" w:themeColor="text1"/>
          <w:spacing w:val="2"/>
          <w:sz w:val="32"/>
          <w:szCs w:val="32"/>
          <w14:textFill>
            <w14:solidFill>
              <w14:schemeClr w14:val="tx1"/>
            </w14:solidFill>
          </w14:textFill>
        </w:rPr>
        <w:t>的隐蔽性、动态性、复杂性、差异性和不确定性，受工作精度、技术方法和手段等多种因素影响，风险隐患尚不能及时有效识别。</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二是</w:t>
      </w:r>
      <w:r>
        <w:rPr>
          <w:rFonts w:hint="default" w:ascii="Times New Roman" w:hAnsi="Times New Roman" w:eastAsia="方正仿宋_GBK" w:cs="Times New Roman"/>
          <w:b w:val="0"/>
          <w:bCs w:val="0"/>
          <w:color w:val="000000" w:themeColor="text1"/>
          <w:spacing w:val="2"/>
          <w:sz w:val="32"/>
          <w:szCs w:val="32"/>
          <w14:textFill>
            <w14:solidFill>
              <w14:schemeClr w14:val="tx1"/>
            </w14:solidFill>
          </w14:textFill>
        </w:rPr>
        <w:t>地质灾害风险区亟需划定。</w:t>
      </w:r>
      <w:r>
        <w:rPr>
          <w:rFonts w:hint="default" w:ascii="Times New Roman" w:hAnsi="Times New Roman" w:eastAsia="方正仿宋_GBK" w:cs="Times New Roman"/>
          <w:color w:val="000000" w:themeColor="text1"/>
          <w:spacing w:val="2"/>
          <w:sz w:val="32"/>
          <w:szCs w:val="32"/>
          <w14:textFill>
            <w14:solidFill>
              <w14:schemeClr w14:val="tx1"/>
            </w14:solidFill>
          </w14:textFill>
        </w:rPr>
        <w:t>全县尚有一定地质灾害隐患未被查明，由于人类工程活动的加剧，极端天气的不确定性，增加了地质灾害的防治难度，致使每年新发生的灾险情50%以上不在已查明的隐患点上，因此有必要尽快查清地质灾害风险底数，划定地质灾害风险区，以提高我区风险区管控能力。</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三是</w:t>
      </w:r>
      <w:r>
        <w:rPr>
          <w:rFonts w:hint="default" w:ascii="Times New Roman" w:hAnsi="Times New Roman" w:eastAsia="方正仿宋_GBK" w:cs="Times New Roman"/>
          <w:b w:val="0"/>
          <w:bCs w:val="0"/>
          <w:color w:val="000000" w:themeColor="text1"/>
          <w:spacing w:val="2"/>
          <w:sz w:val="32"/>
          <w:szCs w:val="32"/>
          <w14:textFill>
            <w14:solidFill>
              <w14:schemeClr w14:val="tx1"/>
            </w14:solidFill>
          </w14:textFill>
        </w:rPr>
        <w:t>监测预警智能化水平亟待提升。</w:t>
      </w:r>
      <w:r>
        <w:rPr>
          <w:rFonts w:hint="default" w:ascii="Times New Roman" w:hAnsi="Times New Roman" w:eastAsia="方正仿宋_GBK" w:cs="Times New Roman"/>
          <w:color w:val="000000" w:themeColor="text1"/>
          <w:spacing w:val="2"/>
          <w:sz w:val="32"/>
          <w:szCs w:val="32"/>
          <w14:textFill>
            <w14:solidFill>
              <w14:schemeClr w14:val="tx1"/>
            </w14:solidFill>
          </w14:textFill>
        </w:rPr>
        <w:t>目前全县地质灾害监测预警主要依靠群测群防，监测手段较为落后；专业监测工作刚刚起步，多数已知隐患点没有安装监测预警设备，地质灾害何时发生的问题仍难以解决，应尽快推进智能化监测预警工作，提升预报预警的精准度。</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四是</w:t>
      </w:r>
      <w:r>
        <w:rPr>
          <w:rFonts w:hint="default" w:ascii="Times New Roman" w:hAnsi="Times New Roman" w:eastAsia="方正仿宋_GBK" w:cs="Times New Roman"/>
          <w:b w:val="0"/>
          <w:bCs w:val="0"/>
          <w:color w:val="000000" w:themeColor="text1"/>
          <w:spacing w:val="2"/>
          <w:sz w:val="32"/>
          <w:szCs w:val="32"/>
          <w14:textFill>
            <w14:solidFill>
              <w14:schemeClr w14:val="tx1"/>
            </w14:solidFill>
          </w14:textFill>
        </w:rPr>
        <w:t>地质灾害综合治理任务依然艰巨。</w:t>
      </w:r>
      <w:r>
        <w:rPr>
          <w:rFonts w:hint="default" w:ascii="Times New Roman" w:hAnsi="Times New Roman" w:eastAsia="方正仿宋_GBK" w:cs="Times New Roman"/>
          <w:color w:val="000000" w:themeColor="text1"/>
          <w:spacing w:val="2"/>
          <w:sz w:val="32"/>
          <w:szCs w:val="32"/>
          <w14:textFill>
            <w14:solidFill>
              <w14:schemeClr w14:val="tx1"/>
            </w14:solidFill>
          </w14:textFill>
        </w:rPr>
        <w:t>截至“十三五”末，全县有13处需要通过搬迁避让或工程治理来消除隐患威胁。</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五是</w:t>
      </w:r>
      <w:r>
        <w:rPr>
          <w:rFonts w:hint="default" w:ascii="Times New Roman" w:hAnsi="Times New Roman" w:eastAsia="方正仿宋_GBK" w:cs="Times New Roman"/>
          <w:b w:val="0"/>
          <w:bCs w:val="0"/>
          <w:color w:val="000000" w:themeColor="text1"/>
          <w:spacing w:val="2"/>
          <w:sz w:val="32"/>
          <w:szCs w:val="32"/>
          <w14:textFill>
            <w14:solidFill>
              <w14:schemeClr w14:val="tx1"/>
            </w14:solidFill>
          </w14:textFill>
        </w:rPr>
        <w:t>地质灾害防治能力仍需加强。</w:t>
      </w:r>
      <w:r>
        <w:rPr>
          <w:rFonts w:hint="default" w:ascii="Times New Roman" w:hAnsi="Times New Roman" w:eastAsia="方正仿宋_GBK" w:cs="Times New Roman"/>
          <w:color w:val="000000" w:themeColor="text1"/>
          <w:spacing w:val="2"/>
          <w:sz w:val="32"/>
          <w:szCs w:val="32"/>
          <w14:textFill>
            <w14:solidFill>
              <w14:schemeClr w14:val="tx1"/>
            </w14:solidFill>
          </w14:textFill>
        </w:rPr>
        <w:t>根据大数据、人工智能等新技术的发展趋势以及基层防灾需求，全县需快速提升地质灾害防治信息化水平，加强地质灾害生成机理、隐患早期识别、精准预警等关键技术研究，尽快推广应用地质灾害防治新技术、新方法和新装备，全面提升地质灾害防治能力。</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六是</w:t>
      </w:r>
      <w:r>
        <w:rPr>
          <w:rFonts w:hint="default" w:ascii="Times New Roman" w:hAnsi="Times New Roman" w:eastAsia="方正仿宋_GBK" w:cs="Times New Roman"/>
          <w:color w:val="000000" w:themeColor="text1"/>
          <w:spacing w:val="2"/>
          <w:sz w:val="32"/>
          <w:szCs w:val="32"/>
          <w14:textFill>
            <w14:solidFill>
              <w14:schemeClr w14:val="tx1"/>
            </w14:solidFill>
          </w14:textFill>
        </w:rPr>
        <w:t>地质灾害防治与国土空间规划和用途管制统筹不够，从源头控制地质灾害风险亟需加强。</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方正小标宋_GBK" w:hAnsi="方正小标宋_GBK" w:eastAsia="方正小标宋_GBK" w:cs="方正小标宋_GBK"/>
          <w:b w:val="0"/>
          <w:bCs/>
          <w:color w:val="000000" w:themeColor="text1"/>
          <w:kern w:val="44"/>
          <w:sz w:val="40"/>
          <w:szCs w:val="40"/>
          <w:lang w:val="en-US" w:eastAsia="zh-CN" w:bidi="ar-SA"/>
          <w14:textFill>
            <w14:solidFill>
              <w14:schemeClr w14:val="tx1"/>
            </w14:solidFill>
          </w14:textFill>
        </w:rPr>
      </w:pPr>
      <w:bookmarkStart w:id="11" w:name="_Toc112677975"/>
      <w:r>
        <w:rPr>
          <w:rFonts w:hint="default" w:ascii="Times New Roman" w:hAnsi="Times New Roman" w:cs="Times New Roman"/>
          <w:b/>
          <w:color w:val="000000" w:themeColor="text1"/>
          <w:szCs w:val="32"/>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kern w:val="44"/>
          <w:sz w:val="40"/>
          <w:szCs w:val="40"/>
          <w:lang w:val="en-US" w:eastAsia="zh-CN" w:bidi="ar-SA"/>
          <w14:textFill>
            <w14:solidFill>
              <w14:schemeClr w14:val="tx1"/>
            </w14:solidFill>
          </w14:textFill>
        </w:rPr>
        <w:t>《规划》指导思想、原则与目标</w:t>
      </w:r>
      <w:bookmarkEnd w:id="11"/>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Times New Roman" w:hAnsi="Times New Roman" w:eastAsia="楷体_GB2312" w:cs="Times New Roman"/>
          <w:color w:val="000000" w:themeColor="text1"/>
          <w14:textFill>
            <w14:solidFill>
              <w14:schemeClr w14:val="tx1"/>
            </w14:solidFill>
          </w14:textFill>
        </w:rPr>
      </w:pPr>
      <w:bookmarkStart w:id="12" w:name="_Toc112677976"/>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黑体_GBK" w:hAnsi="方正黑体_GBK" w:eastAsia="方正黑体_GBK" w:cs="方正黑体_GBK"/>
          <w:b w:val="0"/>
          <w:bCs w:val="0"/>
          <w:color w:val="000000" w:themeColor="text1"/>
          <w14:textFill>
            <w14:solidFill>
              <w14:schemeClr w14:val="tx1"/>
            </w14:solidFill>
          </w14:textFill>
        </w:rPr>
      </w:pPr>
      <w:r>
        <w:rPr>
          <w:rFonts w:hint="eastAsia" w:ascii="方正黑体_GBK" w:hAnsi="方正黑体_GBK" w:eastAsia="方正黑体_GBK" w:cs="方正黑体_GBK"/>
          <w:b w:val="0"/>
          <w:bCs w:val="0"/>
          <w:color w:val="000000" w:themeColor="text1"/>
          <w:lang w:eastAsia="zh-CN"/>
          <w14:textFill>
            <w14:solidFill>
              <w14:schemeClr w14:val="tx1"/>
            </w14:solidFill>
          </w14:textFill>
        </w:rPr>
        <w:t>一、</w:t>
      </w:r>
      <w:r>
        <w:rPr>
          <w:rFonts w:hint="eastAsia" w:ascii="方正黑体_GBK" w:hAnsi="方正黑体_GBK" w:eastAsia="方正黑体_GBK" w:cs="方正黑体_GBK"/>
          <w:b w:val="0"/>
          <w:bCs w:val="0"/>
          <w:color w:val="000000" w:themeColor="text1"/>
          <w14:textFill>
            <w14:solidFill>
              <w14:schemeClr w14:val="tx1"/>
            </w14:solidFill>
          </w14:textFill>
        </w:rPr>
        <w:t>指导思想</w:t>
      </w:r>
      <w:bookmarkEnd w:id="12"/>
    </w:p>
    <w:p>
      <w:pPr>
        <w:keepNext w:val="0"/>
        <w:keepLines w:val="0"/>
        <w:pageBreakBefore w:val="0"/>
        <w:widowControl/>
        <w:kinsoku/>
        <w:wordWrap/>
        <w:overflowPunct/>
        <w:topLinePunct w:val="0"/>
        <w:autoSpaceDE/>
        <w:autoSpaceDN/>
        <w:bidi w:val="0"/>
        <w:adjustRightInd/>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高举中国特色社会主义伟大旗帜，坚持以习近平新时代中国特色社会主义思想为指导，深入贯彻</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党的</w:t>
      </w:r>
      <w:r>
        <w:rPr>
          <w:rFonts w:hint="default" w:ascii="Times New Roman" w:hAnsi="Times New Roman" w:eastAsia="方正仿宋_GBK" w:cs="Times New Roman"/>
          <w:color w:val="000000" w:themeColor="text1"/>
          <w:sz w:val="32"/>
          <w:szCs w:val="32"/>
          <w14:textFill>
            <w14:solidFill>
              <w14:schemeClr w14:val="tx1"/>
            </w14:solidFill>
          </w14:textFill>
        </w:rPr>
        <w:t>二十大精神</w:t>
      </w:r>
      <w:r>
        <w:rPr>
          <w:rFonts w:hint="default" w:ascii="Times New Roman" w:hAnsi="Times New Roman" w:eastAsia="方正仿宋_GBK" w:cs="Times New Roman"/>
          <w:color w:val="000000" w:themeColor="text1"/>
          <w:spacing w:val="2"/>
          <w:sz w:val="32"/>
          <w:szCs w:val="32"/>
          <w14:textFill>
            <w14:solidFill>
              <w14:schemeClr w14:val="tx1"/>
            </w14:solidFill>
          </w14:textFill>
        </w:rPr>
        <w:t>和习近平总书记考察安徽重要讲话指示精神，增强“四个意识”、坚定“四个自信”、做到“两个维护”，统筹推进“五位一体”总体布局，协调推进“四个全面”战略布局和</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总体国家安全观</w:t>
      </w:r>
      <w:r>
        <w:rPr>
          <w:rFonts w:hint="default" w:ascii="Times New Roman" w:hAnsi="Times New Roman" w:eastAsia="方正仿宋_GBK" w:cs="Times New Roman"/>
          <w:color w:val="000000" w:themeColor="text1"/>
          <w:spacing w:val="2"/>
          <w:sz w:val="32"/>
          <w:szCs w:val="32"/>
          <w14:textFill>
            <w14:solidFill>
              <w14:schemeClr w14:val="tx1"/>
            </w14:solidFill>
          </w14:textFill>
        </w:rPr>
        <w:t>，立足新发展阶段，贯彻新发展理念，构建新发展格局，以“两个坚持、三个转变”为根本遵循，以提升地质灾害防治能力、加强地勘队伍专业素质建设、政治建设和文化建设，减轻地质灾害风险为主线，以保障人民生命财产安全为目的，聚焦“隐患在哪里”“结构是什么”“什么时候发生”等关键问题，依靠地质技术进步、管理创新和信息技术，建立以“风险双控、全域整治、科技防灾”为核心的地质灾害综合防治体系，持续推进地质灾害隐患识别、风险调查、监测预警、综合治理、基层防灾能力和信息化建设，加快融入长三角一体化地质灾害防治体系，实现地质灾害防治工作更大作为。</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方正黑体_GBK" w:hAnsi="方正黑体_GBK" w:eastAsia="方正黑体_GBK" w:cs="方正黑体_GBK"/>
          <w:b w:val="0"/>
          <w:bCs w:val="0"/>
          <w:color w:val="000000" w:themeColor="text1"/>
          <w:lang w:eastAsia="zh-CN"/>
          <w14:textFill>
            <w14:solidFill>
              <w14:schemeClr w14:val="tx1"/>
            </w14:solidFill>
          </w14:textFill>
        </w:rPr>
      </w:pPr>
      <w:bookmarkStart w:id="13" w:name="_Toc112677977"/>
      <w:r>
        <w:rPr>
          <w:rFonts w:hint="default" w:ascii="方正黑体_GBK" w:hAnsi="方正黑体_GBK" w:eastAsia="方正黑体_GBK" w:cs="方正黑体_GBK"/>
          <w:b w:val="0"/>
          <w:bCs w:val="0"/>
          <w:color w:val="000000" w:themeColor="text1"/>
          <w:lang w:eastAsia="zh-CN"/>
          <w14:textFill>
            <w14:solidFill>
              <w14:schemeClr w14:val="tx1"/>
            </w14:solidFill>
          </w14:textFill>
        </w:rPr>
        <w:t>二、规划原则</w:t>
      </w:r>
      <w:bookmarkEnd w:id="13"/>
    </w:p>
    <w:p>
      <w:pPr>
        <w:pageBreakBefore w:val="0"/>
        <w:widowControl/>
        <w:kinsoku/>
        <w:wordWrap/>
        <w:overflowPunct/>
        <w:topLinePunct w:val="0"/>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eastAsia" w:ascii="方正楷体_GBK" w:hAnsi="方正楷体_GBK" w:eastAsia="方正楷体_GBK" w:cs="方正楷体_GBK"/>
          <w:b/>
          <w:color w:val="000000" w:themeColor="text1"/>
          <w:spacing w:val="2"/>
          <w:sz w:val="32"/>
          <w:szCs w:val="32"/>
          <w:lang w:eastAsia="zh-CN"/>
          <w14:textFill>
            <w14:solidFill>
              <w14:schemeClr w14:val="tx1"/>
            </w14:solidFill>
          </w14:textFill>
        </w:rPr>
        <w:t>（一）</w:t>
      </w:r>
      <w:r>
        <w:rPr>
          <w:rFonts w:hint="eastAsia" w:ascii="方正楷体_GBK" w:hAnsi="方正楷体_GBK" w:eastAsia="方正楷体_GBK" w:cs="方正楷体_GBK"/>
          <w:b/>
          <w:color w:val="000000" w:themeColor="text1"/>
          <w:spacing w:val="2"/>
          <w:sz w:val="32"/>
          <w:szCs w:val="32"/>
          <w14:textFill>
            <w14:solidFill>
              <w14:schemeClr w14:val="tx1"/>
            </w14:solidFill>
          </w14:textFill>
        </w:rPr>
        <w:t>坚持依法治理、健全制度。</w:t>
      </w:r>
      <w:r>
        <w:rPr>
          <w:rFonts w:hint="default" w:ascii="Times New Roman" w:hAnsi="Times New Roman" w:eastAsia="方正仿宋_GBK" w:cs="Times New Roman"/>
          <w:color w:val="000000" w:themeColor="text1"/>
          <w:spacing w:val="2"/>
          <w:sz w:val="32"/>
          <w:szCs w:val="32"/>
          <w14:textFill>
            <w14:solidFill>
              <w14:schemeClr w14:val="tx1"/>
            </w14:solidFill>
          </w14:textFill>
        </w:rPr>
        <w:t>加强党和政府对地质灾害防治管理工作的集中统一领导，全面贯彻党的基本理论、基本路线、基本方略，把党的政治优势、组织优势、密切联系群众优势和社会主义集中力量办大事的制度优势转化为地质灾害防治事业发展的强大动力和坚强保障。运用法治思维和法治方式，加快构建适应地质灾害防治管理体制的法律法规和标准体系，坚持权责法定、依法防治，增强全社会法治意识，实现地质灾害防治管理的制度化、法治化、规范化。</w:t>
      </w:r>
    </w:p>
    <w:p>
      <w:pPr>
        <w:pageBreakBefore w:val="0"/>
        <w:widowControl/>
        <w:kinsoku/>
        <w:wordWrap/>
        <w:overflowPunct/>
        <w:topLinePunct w:val="0"/>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（二）坚持以人为本、预防为主。</w:t>
      </w:r>
      <w:r>
        <w:rPr>
          <w:rFonts w:hint="default" w:ascii="Times New Roman" w:hAnsi="Times New Roman" w:eastAsia="方正仿宋_GBK" w:cs="Times New Roman"/>
          <w:color w:val="000000" w:themeColor="text1"/>
          <w:spacing w:val="2"/>
          <w:sz w:val="32"/>
          <w:szCs w:val="32"/>
          <w14:textFill>
            <w14:solidFill>
              <w14:schemeClr w14:val="tx1"/>
            </w14:solidFill>
          </w14:textFill>
        </w:rPr>
        <w:t>牢固树立以人民为中心的发展理念，坚持人民至上、生命至上、人民利益至上。凡受地质灾害隐患威胁的群众应逐户建档立卡，排查巡查不漏一户，不落一人，主动防范，最大限度地减少因地质灾害造成的人员伤亡和财产损失。</w:t>
      </w:r>
    </w:p>
    <w:p>
      <w:pPr>
        <w:pageBreakBefore w:val="0"/>
        <w:kinsoku/>
        <w:wordWrap/>
        <w:overflowPunct/>
        <w:topLinePunct w:val="0"/>
        <w:bidi w:val="0"/>
        <w:snapToGrid/>
        <w:spacing w:line="590" w:lineRule="exact"/>
        <w:ind w:firstLine="648"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（三）坚持分级负责、属地管理。</w:t>
      </w:r>
      <w:r>
        <w:rPr>
          <w:rFonts w:hint="default" w:ascii="Times New Roman" w:hAnsi="Times New Roman" w:eastAsia="方正仿宋_GBK" w:cs="Times New Roman"/>
          <w:color w:val="000000" w:themeColor="text1"/>
          <w:sz w:val="32"/>
          <w:szCs w:val="32"/>
          <w14:textFill>
            <w14:solidFill>
              <w14:schemeClr w14:val="tx1"/>
            </w14:solidFill>
          </w14:textFill>
        </w:rPr>
        <w:t>建立健全“党委领导、政府主导、部门协同、社会参与、法制保障”的社会化、扁平化防治工作新格局。人为活动引发的地质灾害，按照“谁建设、谁负责，谁引发、谁治理”，严格落实企业和施工单位的防治责任。</w:t>
      </w:r>
    </w:p>
    <w:p>
      <w:pPr>
        <w:pageBreakBefore w:val="0"/>
        <w:kinsoku/>
        <w:wordWrap/>
        <w:overflowPunct/>
        <w:topLinePunct w:val="0"/>
        <w:bidi w:val="0"/>
        <w:snapToGrid/>
        <w:spacing w:line="590" w:lineRule="exact"/>
        <w:ind w:firstLine="648"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（四）坚持科学防灾、智能预警。</w:t>
      </w:r>
      <w:r>
        <w:rPr>
          <w:rFonts w:hint="default" w:ascii="Times New Roman" w:hAnsi="Times New Roman" w:eastAsia="方正仿宋_GBK" w:cs="Times New Roman"/>
          <w:color w:val="000000" w:themeColor="text1"/>
          <w:sz w:val="32"/>
          <w:szCs w:val="32"/>
          <w14:textFill>
            <w14:solidFill>
              <w14:schemeClr w14:val="tx1"/>
            </w14:solidFill>
          </w14:textFill>
        </w:rPr>
        <w:t>强化地质灾害分布发育规律研究，加强新技术推广应用，切实提升地质灾害防治科技水平，及时捕捉灾害前兆信息，实时监测灾变过程，力争做到早发现、早报告、早预警、早处置，实现科学防灾、智能预警。</w:t>
      </w:r>
    </w:p>
    <w:p>
      <w:pPr>
        <w:keepNext w:val="0"/>
        <w:keepLines w:val="0"/>
        <w:pageBreakBefore w:val="0"/>
        <w:widowControl w:val="0"/>
        <w:kinsoku/>
        <w:wordWrap/>
        <w:overflowPunct/>
        <w:topLinePunct w:val="0"/>
        <w:autoSpaceDE/>
        <w:autoSpaceDN/>
        <w:bidi w:val="0"/>
        <w:adjustRightInd/>
        <w:snapToGrid/>
        <w:spacing w:line="590" w:lineRule="exact"/>
        <w:ind w:firstLine="648" w:firstLineChars="200"/>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（五）坚持搬迁优先、综合治理。</w:t>
      </w:r>
      <w:r>
        <w:rPr>
          <w:rFonts w:hint="default" w:ascii="Times New Roman" w:hAnsi="Times New Roman" w:eastAsia="方正仿宋_GBK" w:cs="Times New Roman"/>
          <w:color w:val="000000" w:themeColor="text1"/>
          <w:sz w:val="32"/>
          <w:szCs w:val="32"/>
          <w14:textFill>
            <w14:solidFill>
              <w14:schemeClr w14:val="tx1"/>
            </w14:solidFill>
          </w14:textFill>
        </w:rPr>
        <w:t>按照“轻重缓急”，分重点、分层级科学规范制定地质灾害搬迁避让、工程治理、排危除险等综合治理措施。坚持以搬迁避让为主、工程治理为辅，对风险等级高的地质灾害隐患点实施搬迁避让；对风险等级高、不宜搬迁避让的实施工程治理；对险情紧迫、治理措施相对简单的通过排危除险消除隐患威胁。</w:t>
      </w:r>
    </w:p>
    <w:p>
      <w:pPr>
        <w:pageBreakBefore w:val="0"/>
        <w:kinsoku/>
        <w:wordWrap/>
        <w:overflowPunct/>
        <w:topLinePunct w:val="0"/>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（六）坚持群测群防、群专结合。</w:t>
      </w:r>
      <w:r>
        <w:rPr>
          <w:rFonts w:hint="default" w:ascii="Times New Roman" w:hAnsi="Times New Roman" w:eastAsia="方正仿宋_GBK" w:cs="Times New Roman"/>
          <w:color w:val="000000" w:themeColor="text1"/>
          <w:sz w:val="32"/>
          <w:szCs w:val="32"/>
          <w14:textFill>
            <w14:solidFill>
              <w14:schemeClr w14:val="tx1"/>
            </w14:solidFill>
          </w14:textFill>
        </w:rPr>
        <w:t>开展地质灾害科普宣传，不断</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增强</w:t>
      </w:r>
      <w:r>
        <w:rPr>
          <w:rFonts w:hint="default" w:ascii="Times New Roman" w:hAnsi="Times New Roman" w:eastAsia="方正仿宋_GBK" w:cs="Times New Roman"/>
          <w:color w:val="000000" w:themeColor="text1"/>
          <w:sz w:val="32"/>
          <w:szCs w:val="32"/>
          <w14:textFill>
            <w14:solidFill>
              <w14:schemeClr w14:val="tx1"/>
            </w14:solidFill>
          </w14:textFill>
        </w:rPr>
        <w:t>群众的防灾意识，依靠基层群众进行群测群防，同时，加大普适型专业监测设备的推广运用，实现群专结合、人技结合，有效提高地质灾害的成功预报率。</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方正黑体_GBK" w:hAnsi="方正黑体_GBK" w:eastAsia="方正黑体_GBK" w:cs="方正黑体_GBK"/>
          <w:b w:val="0"/>
          <w:bCs w:val="0"/>
          <w:color w:val="000000" w:themeColor="text1"/>
          <w:lang w:eastAsia="zh-CN"/>
          <w14:textFill>
            <w14:solidFill>
              <w14:schemeClr w14:val="tx1"/>
            </w14:solidFill>
          </w14:textFill>
        </w:rPr>
      </w:pPr>
      <w:bookmarkStart w:id="14" w:name="_Toc112677978"/>
      <w:r>
        <w:rPr>
          <w:rFonts w:hint="default" w:ascii="方正黑体_GBK" w:hAnsi="方正黑体_GBK" w:eastAsia="方正黑体_GBK" w:cs="方正黑体_GBK"/>
          <w:b w:val="0"/>
          <w:bCs w:val="0"/>
          <w:color w:val="000000" w:themeColor="text1"/>
          <w:lang w:eastAsia="zh-CN"/>
          <w14:textFill>
            <w14:solidFill>
              <w14:schemeClr w14:val="tx1"/>
            </w14:solidFill>
          </w14:textFill>
        </w:rPr>
        <w:t>三、规划目标</w:t>
      </w:r>
      <w:bookmarkEnd w:id="14"/>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z w:val="32"/>
          <w:szCs w:val="32"/>
          <w14:textFill>
            <w14:solidFill>
              <w14:schemeClr w14:val="tx1"/>
            </w14:solidFill>
          </w14:textFill>
        </w:rPr>
        <w:t>“十四五”期间，在省</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委省政府</w:t>
      </w:r>
      <w:r>
        <w:rPr>
          <w:rFonts w:hint="default" w:ascii="Times New Roman" w:hAnsi="Times New Roman" w:eastAsia="方正仿宋_GBK" w:cs="Times New Roman"/>
          <w:color w:val="000000" w:themeColor="text1"/>
          <w:sz w:val="32"/>
          <w:szCs w:val="32"/>
          <w14:textFill>
            <w14:solidFill>
              <w14:schemeClr w14:val="tx1"/>
            </w14:solidFill>
          </w14:textFill>
        </w:rPr>
        <w:t>、市委市政府的高度重视和领导下，全县</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上下</w:t>
      </w:r>
      <w:r>
        <w:rPr>
          <w:rFonts w:hint="default" w:ascii="Times New Roman" w:hAnsi="Times New Roman" w:eastAsia="方正仿宋_GBK" w:cs="Times New Roman"/>
          <w:color w:val="000000" w:themeColor="text1"/>
          <w:sz w:val="32"/>
          <w:szCs w:val="32"/>
          <w14:textFill>
            <w14:solidFill>
              <w14:schemeClr w14:val="tx1"/>
            </w14:solidFill>
          </w14:textFill>
        </w:rPr>
        <w:t>将认真贯彻落实《国务院关于加强地质灾害防治工作的决定》</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文件</w:t>
      </w:r>
      <w:r>
        <w:rPr>
          <w:rFonts w:hint="default" w:ascii="Times New Roman" w:hAnsi="Times New Roman" w:eastAsia="方正仿宋_GBK" w:cs="Times New Roman"/>
          <w:color w:val="000000" w:themeColor="text1"/>
          <w:sz w:val="32"/>
          <w:szCs w:val="32"/>
          <w14:textFill>
            <w14:solidFill>
              <w14:schemeClr w14:val="tx1"/>
            </w14:solidFill>
          </w14:textFill>
        </w:rPr>
        <w:t>要求，进一步加强全县地质灾害的基础性调查工作，全面完成县级1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5万地质灾害风险调查评价任务，掌握全县地质灾害隐患风险底数和成灾机理；加大对切坡建房的调查，掌握全县有危险性的切坡建房数据；适时开展重点村镇1</w:t>
      </w:r>
      <w:r>
        <w:rPr>
          <w:rFonts w:hint="default" w:ascii="Times New Roman" w:hAnsi="Times New Roman" w:eastAsia="方正仿宋_GBK" w:cs="Times New Roman"/>
          <w:color w:val="000000" w:themeColor="text1"/>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14:textFill>
            <w14:solidFill>
              <w14:schemeClr w14:val="tx1"/>
            </w14:solidFill>
          </w14:textFill>
        </w:rPr>
        <w:t>1万地质灾害详细调查工作；建成新型高效的群专结合监测预警网络和气象预警体系，显著</w:t>
      </w:r>
      <w:r>
        <w:rPr>
          <w:rFonts w:hint="default" w:ascii="Times New Roman" w:hAnsi="Times New Roman" w:eastAsia="方正仿宋_GBK" w:cs="Times New Roman"/>
          <w:color w:val="000000" w:themeColor="text1"/>
          <w:spacing w:val="2"/>
          <w:sz w:val="32"/>
          <w:szCs w:val="32"/>
          <w14:textFill>
            <w14:solidFill>
              <w14:schemeClr w14:val="tx1"/>
            </w14:solidFill>
          </w14:textFill>
        </w:rPr>
        <w:t>提高地质灾害监测和预报预警能力；进一步完善地质灾害群测群防体系，全面推进“五位一体”的地质灾害防治网格化管理体系；对威胁人数多和危险性较高的地质灾害隐患点，实施搬迁避让或工程治理、排危除险工作，消除地质灾害隐患；应用新型实用的地质灾害监测预警与防治技术装备，提高地质灾害防治科技支撑能力，解决提升“隐患什么时候发生”的问题（见表1）。</w:t>
      </w:r>
    </w:p>
    <w:p>
      <w:pPr>
        <w:pageBreakBefore w:val="0"/>
        <w:kinsoku/>
        <w:wordWrap/>
        <w:overflowPunct/>
        <w:topLinePunct w:val="0"/>
        <w:bidi w:val="0"/>
        <w:snapToGrid/>
        <w:spacing w:line="590" w:lineRule="exact"/>
        <w:ind w:firstLine="648" w:firstLineChars="200"/>
        <w:jc w:val="left"/>
        <w:textAlignment w:val="auto"/>
        <w:rPr>
          <w:rFonts w:hint="eastAsia" w:ascii="方正小标宋_GBK" w:hAnsi="方正小标宋_GBK" w:eastAsia="方正小标宋_GBK" w:cs="方正小标宋_GBK"/>
          <w:b w:val="0"/>
          <w:bCs/>
          <w:color w:val="000000" w:themeColor="text1"/>
          <w:spacing w:val="2"/>
          <w:sz w:val="32"/>
          <w:szCs w:val="32"/>
          <w14:textFill>
            <w14:solidFill>
              <w14:schemeClr w14:val="tx1"/>
            </w14:solidFill>
          </w14:textFill>
        </w:rPr>
      </w:pPr>
      <w:r>
        <w:rPr>
          <w:rFonts w:hint="eastAsia" w:ascii="方正小标宋_GBK" w:hAnsi="方正小标宋_GBK" w:eastAsia="方正小标宋_GBK" w:cs="方正小标宋_GBK"/>
          <w:b w:val="0"/>
          <w:bCs/>
          <w:color w:val="000000" w:themeColor="text1"/>
          <w:spacing w:val="2"/>
          <w:sz w:val="32"/>
          <w:szCs w:val="32"/>
          <w14:textFill>
            <w14:solidFill>
              <w14:schemeClr w14:val="tx1"/>
            </w14:solidFill>
          </w14:textFill>
        </w:rPr>
        <w:t>表1 石台县“十四五”地质灾害防治规划重点指标表</w:t>
      </w:r>
    </w:p>
    <w:tbl>
      <w:tblPr>
        <w:tblStyle w:val="9"/>
        <w:tblW w:w="8987" w:type="dxa"/>
        <w:tblInd w:w="-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311"/>
        <w:gridCol w:w="2189"/>
        <w:gridCol w:w="720"/>
        <w:gridCol w:w="1309"/>
        <w:gridCol w:w="1452"/>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731" w:type="dxa"/>
            <w:noWrap/>
            <w:vAlign w:val="center"/>
          </w:tcPr>
          <w:p>
            <w:pPr>
              <w:widowControl/>
              <w:jc w:val="center"/>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序号</w:t>
            </w:r>
          </w:p>
        </w:tc>
        <w:tc>
          <w:tcPr>
            <w:tcW w:w="1311" w:type="dxa"/>
            <w:noWrap/>
            <w:vAlign w:val="center"/>
          </w:tcPr>
          <w:p>
            <w:pPr>
              <w:widowControl/>
              <w:jc w:val="center"/>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类别</w:t>
            </w:r>
          </w:p>
        </w:tc>
        <w:tc>
          <w:tcPr>
            <w:tcW w:w="2189" w:type="dxa"/>
            <w:noWrap/>
            <w:vAlign w:val="center"/>
          </w:tcPr>
          <w:p>
            <w:pPr>
              <w:widowControl/>
              <w:jc w:val="center"/>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指标名称</w:t>
            </w:r>
          </w:p>
        </w:tc>
        <w:tc>
          <w:tcPr>
            <w:tcW w:w="720" w:type="dxa"/>
            <w:noWrap/>
            <w:vAlign w:val="center"/>
          </w:tcPr>
          <w:p>
            <w:pPr>
              <w:widowControl/>
              <w:jc w:val="center"/>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单位</w:t>
            </w:r>
          </w:p>
        </w:tc>
        <w:tc>
          <w:tcPr>
            <w:tcW w:w="1309" w:type="dxa"/>
            <w:noWrap/>
            <w:vAlign w:val="center"/>
          </w:tcPr>
          <w:p>
            <w:pPr>
              <w:widowControl/>
              <w:jc w:val="both"/>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2020年</w:t>
            </w:r>
          </w:p>
          <w:p>
            <w:pPr>
              <w:widowControl/>
              <w:jc w:val="both"/>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现状</w:t>
            </w:r>
          </w:p>
        </w:tc>
        <w:tc>
          <w:tcPr>
            <w:tcW w:w="1452" w:type="dxa"/>
            <w:noWrap/>
            <w:vAlign w:val="center"/>
          </w:tcPr>
          <w:p>
            <w:pPr>
              <w:widowControl/>
              <w:jc w:val="both"/>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2025年</w:t>
            </w:r>
          </w:p>
          <w:p>
            <w:pPr>
              <w:widowControl/>
              <w:jc w:val="both"/>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目标</w:t>
            </w:r>
          </w:p>
        </w:tc>
        <w:tc>
          <w:tcPr>
            <w:tcW w:w="1275" w:type="dxa"/>
            <w:noWrap/>
            <w:vAlign w:val="center"/>
          </w:tcPr>
          <w:p>
            <w:pPr>
              <w:widowControl/>
              <w:jc w:val="both"/>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指标</w:t>
            </w:r>
          </w:p>
          <w:p>
            <w:pPr>
              <w:widowControl/>
              <w:jc w:val="both"/>
              <w:rPr>
                <w:rFonts w:hint="default" w:ascii="Times New Roman" w:hAnsi="Times New Roman" w:eastAsia="仿宋_GB2312" w:cs="Times New Roman"/>
                <w:b/>
                <w:color w:val="000000" w:themeColor="text1"/>
                <w:kern w:val="0"/>
                <w:sz w:val="24"/>
                <w:szCs w:val="18"/>
                <w14:textFill>
                  <w14:solidFill>
                    <w14:schemeClr w14:val="tx1"/>
                  </w14:solidFill>
                </w14:textFill>
              </w:rPr>
            </w:pPr>
            <w:r>
              <w:rPr>
                <w:rFonts w:hint="default" w:ascii="Times New Roman" w:hAnsi="Times New Roman" w:eastAsia="仿宋_GB2312" w:cs="Times New Roman"/>
                <w:b/>
                <w:color w:val="000000" w:themeColor="text1"/>
                <w:kern w:val="0"/>
                <w:sz w:val="24"/>
                <w:szCs w:val="18"/>
                <w14:textFill>
                  <w14:solidFill>
                    <w14:schemeClr w14:val="tx1"/>
                  </w14:solidFill>
                </w14:textFill>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31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综合成效</w:t>
            </w:r>
          </w:p>
        </w:tc>
        <w:tc>
          <w:tcPr>
            <w:tcW w:w="218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地质灾害造成伤亡人数</w:t>
            </w:r>
          </w:p>
        </w:tc>
        <w:tc>
          <w:tcPr>
            <w:tcW w:w="720"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人</w:t>
            </w:r>
          </w:p>
        </w:tc>
        <w:tc>
          <w:tcPr>
            <w:tcW w:w="130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452"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275"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1311" w:type="dxa"/>
            <w:vMerge w:val="restart"/>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调查监测</w:t>
            </w:r>
          </w:p>
        </w:tc>
        <w:tc>
          <w:tcPr>
            <w:tcW w:w="2189" w:type="dxa"/>
            <w:noWrap w:val="0"/>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县级1:5万地质灾害风险调查评价</w:t>
            </w:r>
          </w:p>
        </w:tc>
        <w:tc>
          <w:tcPr>
            <w:tcW w:w="720"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项</w:t>
            </w:r>
          </w:p>
        </w:tc>
        <w:tc>
          <w:tcPr>
            <w:tcW w:w="1309"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452"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275"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w:t>
            </w:r>
          </w:p>
        </w:tc>
        <w:tc>
          <w:tcPr>
            <w:tcW w:w="1311" w:type="dxa"/>
            <w:vMerge w:val="continue"/>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p>
        </w:tc>
        <w:tc>
          <w:tcPr>
            <w:tcW w:w="2189" w:type="dxa"/>
            <w:noWrap w:val="0"/>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1:1万重点乡镇（街道）详细调查</w:t>
            </w:r>
          </w:p>
        </w:tc>
        <w:tc>
          <w:tcPr>
            <w:tcW w:w="720"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项</w:t>
            </w:r>
          </w:p>
        </w:tc>
        <w:tc>
          <w:tcPr>
            <w:tcW w:w="1309"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452"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275"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4</w:t>
            </w:r>
          </w:p>
        </w:tc>
        <w:tc>
          <w:tcPr>
            <w:tcW w:w="1311" w:type="dxa"/>
            <w:vMerge w:val="continue"/>
            <w:noWrap w:val="0"/>
            <w:vAlign w:val="center"/>
          </w:tcPr>
          <w:p>
            <w:pPr>
              <w:widowControl/>
              <w:jc w:val="left"/>
              <w:rPr>
                <w:rFonts w:hint="default" w:ascii="Times New Roman" w:hAnsi="Times New Roman" w:cs="Times New Roman"/>
                <w:color w:val="000000" w:themeColor="text1"/>
                <w:kern w:val="0"/>
                <w:sz w:val="20"/>
                <w:szCs w:val="20"/>
                <w14:textFill>
                  <w14:solidFill>
                    <w14:schemeClr w14:val="tx1"/>
                  </w14:solidFill>
                </w14:textFill>
              </w:rPr>
            </w:pPr>
          </w:p>
        </w:tc>
        <w:tc>
          <w:tcPr>
            <w:tcW w:w="2189"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区级地质灾害三查</w:t>
            </w:r>
          </w:p>
        </w:tc>
        <w:tc>
          <w:tcPr>
            <w:tcW w:w="720"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项</w:t>
            </w:r>
          </w:p>
        </w:tc>
        <w:tc>
          <w:tcPr>
            <w:tcW w:w="130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452"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275"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5</w:t>
            </w:r>
          </w:p>
        </w:tc>
        <w:tc>
          <w:tcPr>
            <w:tcW w:w="1311" w:type="dxa"/>
            <w:vMerge w:val="restart"/>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监测预警</w:t>
            </w:r>
          </w:p>
        </w:tc>
        <w:tc>
          <w:tcPr>
            <w:tcW w:w="2189" w:type="dxa"/>
            <w:noWrap w:val="0"/>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市、县（区）共用的监测预警平台</w:t>
            </w:r>
          </w:p>
        </w:tc>
        <w:tc>
          <w:tcPr>
            <w:tcW w:w="720"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个</w:t>
            </w:r>
          </w:p>
        </w:tc>
        <w:tc>
          <w:tcPr>
            <w:tcW w:w="1309"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452"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275"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6</w:t>
            </w:r>
          </w:p>
        </w:tc>
        <w:tc>
          <w:tcPr>
            <w:tcW w:w="1311" w:type="dxa"/>
            <w:vMerge w:val="continue"/>
            <w:noWrap w:val="0"/>
            <w:vAlign w:val="center"/>
          </w:tcPr>
          <w:p>
            <w:pPr>
              <w:widowControl/>
              <w:jc w:val="left"/>
              <w:rPr>
                <w:rFonts w:hint="default" w:ascii="Times New Roman" w:hAnsi="Times New Roman" w:cs="Times New Roman"/>
                <w:color w:val="000000" w:themeColor="text1"/>
                <w:kern w:val="0"/>
                <w:sz w:val="20"/>
                <w:szCs w:val="20"/>
                <w14:textFill>
                  <w14:solidFill>
                    <w14:schemeClr w14:val="tx1"/>
                  </w14:solidFill>
                </w14:textFill>
              </w:rPr>
            </w:pPr>
          </w:p>
        </w:tc>
        <w:tc>
          <w:tcPr>
            <w:tcW w:w="218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雨量站点建设</w:t>
            </w:r>
          </w:p>
        </w:tc>
        <w:tc>
          <w:tcPr>
            <w:tcW w:w="720"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个</w:t>
            </w:r>
          </w:p>
        </w:tc>
        <w:tc>
          <w:tcPr>
            <w:tcW w:w="130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1452"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5</w:t>
            </w:r>
          </w:p>
        </w:tc>
        <w:tc>
          <w:tcPr>
            <w:tcW w:w="1275"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7</w:t>
            </w:r>
          </w:p>
        </w:tc>
        <w:tc>
          <w:tcPr>
            <w:tcW w:w="1311" w:type="dxa"/>
            <w:vMerge w:val="continue"/>
            <w:noWrap w:val="0"/>
            <w:vAlign w:val="center"/>
          </w:tcPr>
          <w:p>
            <w:pPr>
              <w:widowControl/>
              <w:jc w:val="left"/>
              <w:rPr>
                <w:rFonts w:hint="default" w:ascii="Times New Roman" w:hAnsi="Times New Roman" w:cs="Times New Roman"/>
                <w:color w:val="000000" w:themeColor="text1"/>
                <w:kern w:val="0"/>
                <w:sz w:val="20"/>
                <w:szCs w:val="20"/>
                <w14:textFill>
                  <w14:solidFill>
                    <w14:schemeClr w14:val="tx1"/>
                  </w14:solidFill>
                </w14:textFill>
              </w:rPr>
            </w:pPr>
          </w:p>
        </w:tc>
        <w:tc>
          <w:tcPr>
            <w:tcW w:w="218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普适性监测点</w:t>
            </w:r>
          </w:p>
        </w:tc>
        <w:tc>
          <w:tcPr>
            <w:tcW w:w="720"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个</w:t>
            </w:r>
          </w:p>
        </w:tc>
        <w:tc>
          <w:tcPr>
            <w:tcW w:w="130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452"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w:t>
            </w:r>
          </w:p>
        </w:tc>
        <w:tc>
          <w:tcPr>
            <w:tcW w:w="1275"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8</w:t>
            </w:r>
          </w:p>
        </w:tc>
        <w:tc>
          <w:tcPr>
            <w:tcW w:w="1311" w:type="dxa"/>
            <w:vMerge w:val="restart"/>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综合治理</w:t>
            </w:r>
          </w:p>
        </w:tc>
        <w:tc>
          <w:tcPr>
            <w:tcW w:w="218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搬迁避让工程</w:t>
            </w:r>
          </w:p>
        </w:tc>
        <w:tc>
          <w:tcPr>
            <w:tcW w:w="720"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处</w:t>
            </w:r>
          </w:p>
        </w:tc>
        <w:tc>
          <w:tcPr>
            <w:tcW w:w="130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1452"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1275"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9</w:t>
            </w:r>
          </w:p>
        </w:tc>
        <w:tc>
          <w:tcPr>
            <w:tcW w:w="1311" w:type="dxa"/>
            <w:vMerge w:val="continue"/>
            <w:noWrap w:val="0"/>
            <w:vAlign w:val="center"/>
          </w:tcPr>
          <w:p>
            <w:pPr>
              <w:widowControl/>
              <w:jc w:val="left"/>
              <w:rPr>
                <w:rFonts w:hint="default" w:ascii="Times New Roman" w:hAnsi="Times New Roman" w:cs="Times New Roman"/>
                <w:color w:val="000000" w:themeColor="text1"/>
                <w:kern w:val="0"/>
                <w:sz w:val="20"/>
                <w:szCs w:val="20"/>
                <w14:textFill>
                  <w14:solidFill>
                    <w14:schemeClr w14:val="tx1"/>
                  </w14:solidFill>
                </w14:textFill>
              </w:rPr>
            </w:pPr>
          </w:p>
        </w:tc>
        <w:tc>
          <w:tcPr>
            <w:tcW w:w="2189"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地质灾害工程治理</w:t>
            </w:r>
          </w:p>
        </w:tc>
        <w:tc>
          <w:tcPr>
            <w:tcW w:w="720"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处</w:t>
            </w:r>
          </w:p>
        </w:tc>
        <w:tc>
          <w:tcPr>
            <w:tcW w:w="1309"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1452"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11（含排危除险3处）</w:t>
            </w:r>
          </w:p>
        </w:tc>
        <w:tc>
          <w:tcPr>
            <w:tcW w:w="1275" w:type="dxa"/>
            <w:noWrap/>
            <w:vAlign w:val="center"/>
          </w:tcPr>
          <w:p>
            <w:pPr>
              <w:widowControl/>
              <w:spacing w:line="24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trPr>
        <w:tc>
          <w:tcPr>
            <w:tcW w:w="73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10</w:t>
            </w:r>
          </w:p>
        </w:tc>
        <w:tc>
          <w:tcPr>
            <w:tcW w:w="1311"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信息化建设</w:t>
            </w:r>
          </w:p>
        </w:tc>
        <w:tc>
          <w:tcPr>
            <w:tcW w:w="218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地质灾害数据库</w:t>
            </w:r>
          </w:p>
        </w:tc>
        <w:tc>
          <w:tcPr>
            <w:tcW w:w="720"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个</w:t>
            </w:r>
          </w:p>
        </w:tc>
        <w:tc>
          <w:tcPr>
            <w:tcW w:w="1309"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0</w:t>
            </w:r>
          </w:p>
        </w:tc>
        <w:tc>
          <w:tcPr>
            <w:tcW w:w="1452"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1275"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约束性</w:t>
            </w:r>
          </w:p>
        </w:tc>
      </w:tr>
    </w:tbl>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构建功能全面、互联互通的省、市、县地质灾害风险数据库和信息平台，实现调查评价、监测预警、指挥调度、综合防治的智能化管理与数据实时动态更新。普及地质灾害防治常识，根据人工坡顶原始坡形、原始坡高、原始坡度、人工坡高、人工坡度和坡体岩性特征、岩体层面结构面分布和相互关系特征，估算安全程度较高的坡墙距作为唯一硬性指标，指导与规范山区居民切坡建房；努力解决地质灾害防灾减灾体系中的薄弱环节和突出问题，不断增强广大人民群众减灾避灾意识</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全面提升全县地质灾害综合防治能力，全力避免因地质灾害造成的人员伤亡和财产损失。</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到2025年，建成与石台县经济社会发展相适应的地质灾害调查评价体系、监测预警体系、防治体系和防治能力建设，向山区居民普及地质灾害防治常识，尽最大努力消除危险程度较大的地质灾害隐患点，确保地质灾害造成的人员伤亡和财产损失明显减少。努力从源头上降低地质灾害风险，实现地质灾害防治从减少灾害损失向减轻灾害风险转变。</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黑体_GBK" w:hAnsi="方正黑体_GBK" w:eastAsia="方正黑体_GBK" w:cs="方正黑体_GBK"/>
          <w:b w:val="0"/>
          <w:bCs w:val="0"/>
          <w:color w:val="000000" w:themeColor="text1"/>
          <w:sz w:val="32"/>
          <w:szCs w:val="32"/>
          <w:lang w:eastAsia="zh-CN"/>
          <w14:textFill>
            <w14:solidFill>
              <w14:schemeClr w14:val="tx1"/>
            </w14:solidFill>
          </w14:textFill>
        </w:rPr>
      </w:pPr>
      <w:bookmarkStart w:id="15" w:name="_Toc112677979"/>
      <w:r>
        <w:rPr>
          <w:rFonts w:hint="eastAsia" w:ascii="方正黑体_GBK" w:hAnsi="方正黑体_GBK" w:eastAsia="方正黑体_GBK" w:cs="方正黑体_GBK"/>
          <w:b w:val="0"/>
          <w:bCs w:val="0"/>
          <w:color w:val="000000" w:themeColor="text1"/>
          <w:sz w:val="32"/>
          <w:szCs w:val="32"/>
          <w:lang w:eastAsia="zh-CN"/>
          <w14:textFill>
            <w14:solidFill>
              <w14:schemeClr w14:val="tx1"/>
            </w14:solidFill>
          </w14:textFill>
        </w:rPr>
        <w:t>四、规划作用与定位</w:t>
      </w:r>
      <w:bookmarkEnd w:id="15"/>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规划的作用是为石台县地质灾害防治工作提供依据；规划的定位为石台县“十四五”期间石台县地质灾害防治工作的指导性文件。</w:t>
      </w:r>
    </w:p>
    <w:p>
      <w:pPr>
        <w:pStyle w:val="3"/>
        <w:pageBreakBefore w:val="0"/>
        <w:kinsoku/>
        <w:wordWrap/>
        <w:overflowPunct/>
        <w:topLinePunct w:val="0"/>
        <w:bidi w:val="0"/>
        <w:snapToGrid/>
        <w:spacing w:before="0" w:after="0" w:line="590" w:lineRule="exact"/>
        <w:jc w:val="center"/>
        <w:rPr>
          <w:rFonts w:hint="eastAsia" w:ascii="方正小标宋简体" w:hAnsi="方正小标宋简体" w:eastAsia="方正小标宋简体" w:cs="方正小标宋简体"/>
          <w:b w:val="0"/>
          <w:bCs/>
          <w:color w:val="000000" w:themeColor="text1"/>
          <w:sz w:val="44"/>
          <w:szCs w:val="44"/>
          <w14:textFill>
            <w14:solidFill>
              <w14:schemeClr w14:val="tx1"/>
            </w14:solidFill>
          </w14:textFill>
        </w:rPr>
      </w:pPr>
      <w:bookmarkStart w:id="16" w:name="_Toc112677980"/>
      <w:r>
        <w:rPr>
          <w:rFonts w:hint="default" w:ascii="Times New Roman" w:hAnsi="Times New Roman" w:eastAsia="方正仿宋_GBK" w:cs="Times New Roman"/>
          <w:b/>
          <w:color w:val="000000" w:themeColor="text1"/>
          <w:sz w:val="32"/>
          <w:szCs w:val="32"/>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kern w:val="44"/>
          <w:sz w:val="40"/>
          <w:szCs w:val="40"/>
          <w:lang w:val="en-US" w:eastAsia="zh-CN" w:bidi="ar-SA"/>
          <w14:textFill>
            <w14:solidFill>
              <w14:schemeClr w14:val="tx1"/>
            </w14:solidFill>
          </w14:textFill>
        </w:rPr>
        <w:t>地质灾害易发性分区和防治分区</w:t>
      </w:r>
      <w:bookmarkEnd w:id="16"/>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Times New Roman" w:hAnsi="Times New Roman" w:eastAsia="楷体_GB2312" w:cs="Times New Roman"/>
          <w:color w:val="000000" w:themeColor="text1"/>
          <w14:textFill>
            <w14:solidFill>
              <w14:schemeClr w14:val="tx1"/>
            </w14:solidFill>
          </w14:textFill>
        </w:rPr>
      </w:pPr>
      <w:bookmarkStart w:id="17" w:name="_Toc112677981"/>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黑体_GBK" w:hAnsi="方正黑体_GBK" w:eastAsia="方正黑体_GBK" w:cs="方正黑体_GBK"/>
          <w:b w:val="0"/>
          <w:bCs w:val="0"/>
          <w:color w:val="000000" w:themeColor="text1"/>
          <w14:textFill>
            <w14:solidFill>
              <w14:schemeClr w14:val="tx1"/>
            </w14:solidFill>
          </w14:textFill>
        </w:rPr>
      </w:pPr>
      <w:r>
        <w:rPr>
          <w:rFonts w:hint="eastAsia" w:ascii="方正黑体_GBK" w:hAnsi="方正黑体_GBK" w:eastAsia="方正黑体_GBK" w:cs="方正黑体_GBK"/>
          <w:b w:val="0"/>
          <w:bCs w:val="0"/>
          <w:color w:val="000000" w:themeColor="text1"/>
          <w:lang w:eastAsia="zh-CN"/>
          <w14:textFill>
            <w14:solidFill>
              <w14:schemeClr w14:val="tx1"/>
            </w14:solidFill>
          </w14:textFill>
        </w:rPr>
        <w:t>一、</w:t>
      </w:r>
      <w:r>
        <w:rPr>
          <w:rFonts w:hint="eastAsia" w:ascii="方正黑体_GBK" w:hAnsi="方正黑体_GBK" w:eastAsia="方正黑体_GBK" w:cs="方正黑体_GBK"/>
          <w:b w:val="0"/>
          <w:bCs w:val="0"/>
          <w:color w:val="000000" w:themeColor="text1"/>
          <w14:textFill>
            <w14:solidFill>
              <w14:schemeClr w14:val="tx1"/>
            </w14:solidFill>
          </w14:textFill>
        </w:rPr>
        <w:t>地质灾害易发性分区</w:t>
      </w:r>
      <w:bookmarkEnd w:id="17"/>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依据地质环境背景、现状地质灾害分布密度及人类工程活动等因素，把石台县地质灾害易发区划分为高易发区、中易发区、低易发区三个等级。</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楷体_GBK" w:hAnsi="方正楷体_GBK" w:eastAsia="方正楷体_GBK" w:cs="方正楷体_GBK"/>
          <w:b/>
          <w:color w:val="000000" w:themeColor="text1"/>
          <w:sz w:val="32"/>
          <w:szCs w:val="32"/>
          <w14:textFill>
            <w14:solidFill>
              <w14:schemeClr w14:val="tx1"/>
            </w14:solidFill>
          </w14:textFill>
        </w:rPr>
      </w:pPr>
      <w:r>
        <w:rPr>
          <w:rFonts w:hint="eastAsia" w:ascii="方正楷体_GBK" w:hAnsi="方正楷体_GBK" w:eastAsia="方正楷体_GBK" w:cs="方正楷体_GBK"/>
          <w:b/>
          <w:color w:val="000000" w:themeColor="text1"/>
          <w:sz w:val="32"/>
          <w:szCs w:val="32"/>
          <w:lang w:eastAsia="zh-CN"/>
          <w14:textFill>
            <w14:solidFill>
              <w14:schemeClr w14:val="tx1"/>
            </w14:solidFill>
          </w14:textFill>
        </w:rPr>
        <w:t>（一）</w:t>
      </w:r>
      <w:r>
        <w:rPr>
          <w:rFonts w:hint="eastAsia" w:ascii="方正楷体_GBK" w:hAnsi="方正楷体_GBK" w:eastAsia="方正楷体_GBK" w:cs="方正楷体_GBK"/>
          <w:b/>
          <w:color w:val="000000" w:themeColor="text1"/>
          <w:sz w:val="32"/>
          <w:szCs w:val="32"/>
          <w14:textFill>
            <w14:solidFill>
              <w14:schemeClr w14:val="tx1"/>
            </w14:solidFill>
          </w14:textFill>
        </w:rPr>
        <w:t>地质灾害高易发区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1.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横渡镇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七都镇滑坡、崩塌、泥石流地质灾害高易发区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分布于横渡镇南部、七都镇G530国道</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原S325省道升级</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沿线及以南地区，面积165.65平方公里。该区地貌为低山、丘陵，地面标高100</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500m，地形起伏较大；暴雨集中、强度大。工程地质岩组主要为层状较坚硬</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坚硬钙质页岩岩组和薄</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中层状软弱</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较坚硬粉砂质页岩岩组，风化强烈，易发滑坡、崩塌等地质灾害。区内人类工程活动强烈，滑坡主要由人工切坡引起，并沿公路集中分布。共有灾害及隐患5处</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其中滑坡3处，崩塌2处。</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2.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仙寓镇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大演乡崩塌、滑坡、塌陷地质灾害高易发区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分布于仙寓镇、大演乡南部，面积145.18平方公里。该区地貌为中、低山，地面标高500</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1700m，垂直高差大；暴雨集中、强度大。出露岩组主要为碎裂状较软花岗岩强风化岩组和中厚层状较坚硬</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坚硬硅质岩岩组，易发崩塌、滑坡等地质灾害。区内人口密度较小，森林植被保护较好。共有地质灾害及隐患6处</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其中滑坡5处，岩溶塌陷1处。</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3.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丁香镇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大演乡滑坡、崩塌地质灾害高易发区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分布于丁香镇、仁里镇南部，仙寓镇、大演乡北部，横渡镇西部，面积120.16平方公里。地貌为中、低山，地形起伏较大；暴雨集中、强度大。工程地质岩组主要为碎裂状较软花岗岩强风化岩组和中厚层状较坚硬</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坚硬硅质岩岩组，易发崩塌、滑坡等地质灾害。区内人类工程活动较强烈，人口密度较小。共有地质灾害隐患点5处，均为滑坡。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color w:val="000000" w:themeColor="text1"/>
          <w:sz w:val="32"/>
          <w:szCs w:val="32"/>
          <w14:textFill>
            <w14:solidFill>
              <w14:schemeClr w14:val="tx1"/>
            </w14:solidFill>
          </w14:textFill>
        </w:rPr>
      </w:pPr>
      <w:r>
        <w:rPr>
          <w:rFonts w:hint="eastAsia" w:ascii="方正楷体_GBK" w:hAnsi="方正楷体_GBK" w:eastAsia="方正楷体_GBK" w:cs="方正楷体_GBK"/>
          <w:b/>
          <w:color w:val="000000" w:themeColor="text1"/>
          <w:sz w:val="32"/>
          <w:szCs w:val="32"/>
          <w:lang w:eastAsia="zh-CN"/>
          <w14:textFill>
            <w14:solidFill>
              <w14:schemeClr w14:val="tx1"/>
            </w14:solidFill>
          </w14:textFill>
        </w:rPr>
        <w:t>（二）</w:t>
      </w:r>
      <w:r>
        <w:rPr>
          <w:rFonts w:hint="eastAsia" w:ascii="方正楷体_GBK" w:hAnsi="方正楷体_GBK" w:eastAsia="方正楷体_GBK" w:cs="方正楷体_GBK"/>
          <w:b/>
          <w:color w:val="000000" w:themeColor="text1"/>
          <w:sz w:val="32"/>
          <w:szCs w:val="32"/>
          <w14:textFill>
            <w14:solidFill>
              <w14:schemeClr w14:val="tx1"/>
            </w14:solidFill>
          </w14:textFill>
        </w:rPr>
        <w:t>地质灾害中易发区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1.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仙寓镇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七都镇滑坡、崩塌、泥石流地质灾害中易发区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分布于仙寓镇、大演乡、横渡镇北部，丁香镇、仁里镇、七都镇中部，面积776.81平方公里。地貌为中、低山，地面标高100</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1100m，垂直高差大，暴雨频繁、强度大。工程地质岩组北部主要为坚硬</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较坚硬块裂状花岗岩为主的岩浆岩岩组和坚硬</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较软弱薄</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厚层状砂岩泥岩页岩为主碎屑岩岩组，破碎风化较强的泥质砂岩、页岩分布广泛，森林植被保护较好。自然条件下，崩塌、滑坡、泥石流等自然地质灾害少见。共有地质灾害12处。其中滑坡7处，崩塌4处，泥石流1处。</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2.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小河镇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丁香镇滑坡地质灾害中易发区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分布于小河镇西部和南部，丁香镇北西部，面积55.81平方公里。该区地貌为低山、丘陵，地面标高为50</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500m，破碎风化较强的粉砂质页岩、粉砂岩分布广泛，自然条件下，崩塌、滑坡、泥石流等自然灾害少见，在人类工程活动中，暴雨季节往往发生小型滑坡等灾害。区内有地质灾害隐患1处，为滑坡。</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color w:val="000000" w:themeColor="text1"/>
          <w:sz w:val="32"/>
          <w:szCs w:val="32"/>
          <w14:textFill>
            <w14:solidFill>
              <w14:schemeClr w14:val="tx1"/>
            </w14:solidFill>
          </w14:textFill>
        </w:rPr>
      </w:pPr>
      <w:r>
        <w:rPr>
          <w:rFonts w:hint="eastAsia" w:ascii="方正楷体_GBK" w:hAnsi="方正楷体_GBK" w:eastAsia="方正楷体_GBK" w:cs="方正楷体_GBK"/>
          <w:b/>
          <w:color w:val="000000" w:themeColor="text1"/>
          <w:sz w:val="32"/>
          <w:szCs w:val="32"/>
          <w:lang w:eastAsia="zh-CN"/>
          <w14:textFill>
            <w14:solidFill>
              <w14:schemeClr w14:val="tx1"/>
            </w14:solidFill>
          </w14:textFill>
        </w:rPr>
        <w:t>（三）</w:t>
      </w:r>
      <w:r>
        <w:rPr>
          <w:rFonts w:hint="eastAsia" w:ascii="方正楷体_GBK" w:hAnsi="方正楷体_GBK" w:eastAsia="方正楷体_GBK" w:cs="方正楷体_GBK"/>
          <w:b/>
          <w:color w:val="000000" w:themeColor="text1"/>
          <w:sz w:val="32"/>
          <w:szCs w:val="32"/>
          <w14:textFill>
            <w14:solidFill>
              <w14:schemeClr w14:val="tx1"/>
            </w14:solidFill>
          </w14:textFill>
        </w:rPr>
        <w:t>地质灾害低易发区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丁香镇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矶滩乡泥石流地质灾害低易发区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分布于小河镇西部和南部，丁香镇北西部，面积150.22平方公里。该区地貌为低山、丘陵，地面标高50</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500m。人类工程活动微弱，地质环境条件较好，地质灾害不发育，其造成的灾害微弱。现状条件下该区无特征地质灾害及隐患点。</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地质灾害高、中易发区在我县中部、东部、中南部地区大面积分布，地质灾害类型主要为崩塌、滑坡和泥石流。地貌类型主要为中低山和丘陵，地形切割强烈，山坡坡度一般大于25°，地质构造较发育；浅表岩（土）体风化裂隙发育，岩石破碎，结构松散；道路、村民建房切坡现象普遍；降水丰沛，极端天气变化无常，地质环境条件脆弱。每年主汛期、强台风天气是突发性地质灾害多发、高发、频发期。地质灾害低易发区主要分布在我县西北部，区内地貌类型大多为低丘，地质灾害主要为人类工程活动引起。</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黑体_GBK" w:hAnsi="方正黑体_GBK" w:eastAsia="方正黑体_GBK" w:cs="方正黑体_GBK"/>
          <w:b w:val="0"/>
          <w:bCs w:val="0"/>
          <w:color w:val="000000" w:themeColor="text1"/>
          <w:lang w:eastAsia="zh-CN"/>
          <w14:textFill>
            <w14:solidFill>
              <w14:schemeClr w14:val="tx1"/>
            </w14:solidFill>
          </w14:textFill>
        </w:rPr>
      </w:pPr>
      <w:bookmarkStart w:id="18" w:name="_Toc493571227"/>
      <w:bookmarkStart w:id="19" w:name="_Toc500751152"/>
      <w:bookmarkStart w:id="20" w:name="_Toc500269327"/>
      <w:bookmarkStart w:id="21" w:name="_Toc493571301"/>
      <w:bookmarkStart w:id="22" w:name="_Toc112677982"/>
      <w:r>
        <w:rPr>
          <w:rFonts w:hint="eastAsia" w:ascii="方正黑体_GBK" w:hAnsi="方正黑体_GBK" w:eastAsia="方正黑体_GBK" w:cs="方正黑体_GBK"/>
          <w:b w:val="0"/>
          <w:bCs w:val="0"/>
          <w:color w:val="000000" w:themeColor="text1"/>
          <w:lang w:eastAsia="zh-CN"/>
          <w14:textFill>
            <w14:solidFill>
              <w14:schemeClr w14:val="tx1"/>
            </w14:solidFill>
          </w14:textFill>
        </w:rPr>
        <w:t>二、地质灾害防治分区</w:t>
      </w:r>
      <w:bookmarkEnd w:id="18"/>
      <w:bookmarkEnd w:id="19"/>
      <w:bookmarkEnd w:id="20"/>
      <w:bookmarkEnd w:id="21"/>
      <w:bookmarkEnd w:id="22"/>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依据地质灾害的易发性分区，将人口密度、社会经济、重要基础设施布局、自然保护区及重要风景名胜区分布进行叠加，将全县划分为3个地质灾害重点防治亚区、2个地质灾害次重点防治亚区和1个地质灾害一般防治亚区。</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color w:val="000000" w:themeColor="text1"/>
          <w:sz w:val="32"/>
          <w:szCs w:val="32"/>
          <w14:textFill>
            <w14:solidFill>
              <w14:schemeClr w14:val="tx1"/>
            </w14:solidFill>
          </w14:textFill>
        </w:rPr>
      </w:pPr>
      <w:r>
        <w:rPr>
          <w:rFonts w:hint="eastAsia" w:ascii="方正楷体_GBK" w:hAnsi="方正楷体_GBK" w:eastAsia="方正楷体_GBK" w:cs="方正楷体_GBK"/>
          <w:b/>
          <w:color w:val="000000" w:themeColor="text1"/>
          <w:sz w:val="32"/>
          <w:szCs w:val="32"/>
          <w:lang w:eastAsia="zh-CN"/>
          <w14:textFill>
            <w14:solidFill>
              <w14:schemeClr w14:val="tx1"/>
            </w14:solidFill>
          </w14:textFill>
        </w:rPr>
        <w:t>（一）</w:t>
      </w:r>
      <w:r>
        <w:rPr>
          <w:rFonts w:hint="eastAsia" w:ascii="方正楷体_GBK" w:hAnsi="方正楷体_GBK" w:eastAsia="方正楷体_GBK" w:cs="方正楷体_GBK"/>
          <w:b/>
          <w:color w:val="000000" w:themeColor="text1"/>
          <w:sz w:val="32"/>
          <w:szCs w:val="32"/>
          <w14:textFill>
            <w14:solidFill>
              <w14:schemeClr w14:val="tx1"/>
            </w14:solidFill>
          </w14:textFill>
        </w:rPr>
        <w:t>地质灾害重点防治区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1.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矶滩乡</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七都镇滑坡、崩塌、泥石流地质灾害重点防治区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分布于矶滩乡G237国道</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原S221省道升级</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沿线，仁里镇、七都镇县道及附近，横渡镇中</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部</w:t>
      </w:r>
      <w:r>
        <w:rPr>
          <w:rFonts w:hint="default" w:ascii="Times New Roman" w:hAnsi="Times New Roman" w:eastAsia="方正仿宋_GBK" w:cs="Times New Roman"/>
          <w:color w:val="000000" w:themeColor="text1"/>
          <w:spacing w:val="2"/>
          <w:sz w:val="32"/>
          <w:szCs w:val="32"/>
          <w14:textFill>
            <w14:solidFill>
              <w14:schemeClr w14:val="tx1"/>
            </w14:solidFill>
          </w14:textFill>
        </w:rPr>
        <w:t>、南部，七都镇南部、西部，面积262.94平方公里。滑坡、崩塌为本区主要地质灾害，泥石流次之。区内人口密度大，交通繁忙，人类工程活动剧烈。区内共有地质灾害隐患点3处，其中滑坡2处，崩塌1处，均为小型。威胁人员2人，财产6万元。重点防护对象为石台县城、四个风景区、G237国道</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原S221省道升级</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，德上高速，石台</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七井县道，仁里镇同心村林业组受地灾隐患威胁的居民等。</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防治措施：完善群测群防体系，加大地质灾害防治知识普及；对威胁到车辆和行人安全的仁里镇金钱山社区坑口组县道滑坡实施工程治理；对威胁道路安全的地质灾害隐患点进行勘查治理；在地质灾害威胁的路段，设置明显的警示标识。</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2.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仙寓镇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大演乡滑坡、崩塌地质灾害重点防治区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仙寓镇、大演乡南部及县道沿线，面积121.97平方公里。滑坡、崩塌为本区主要地质灾害。区内人口密度较大，旅游资源丰富。区内共有地质灾害隐患点6处，其中滑坡5处，岩溶地面塌陷1处。威胁人员58人，财产280万元，且威胁到景区游人安全。重点防护对象为牯牛降</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景区</w:t>
      </w:r>
      <w:r>
        <w:rPr>
          <w:rFonts w:hint="default" w:ascii="Times New Roman" w:hAnsi="Times New Roman" w:eastAsia="方正仿宋_GBK" w:cs="Times New Roman"/>
          <w:color w:val="000000" w:themeColor="text1"/>
          <w:spacing w:val="2"/>
          <w:sz w:val="32"/>
          <w:szCs w:val="32"/>
          <w14:textFill>
            <w14:solidFill>
              <w14:schemeClr w14:val="tx1"/>
            </w14:solidFill>
          </w14:textFill>
        </w:rPr>
        <w:t>、仙寓山</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景区</w:t>
      </w:r>
      <w:r>
        <w:rPr>
          <w:rFonts w:hint="default" w:ascii="Times New Roman" w:hAnsi="Times New Roman" w:eastAsia="方正仿宋_GBK" w:cs="Times New Roman"/>
          <w:color w:val="000000" w:themeColor="text1"/>
          <w:spacing w:val="2"/>
          <w:sz w:val="32"/>
          <w:szCs w:val="32"/>
          <w14:textFill>
            <w14:solidFill>
              <w14:schemeClr w14:val="tx1"/>
            </w14:solidFill>
          </w14:textFill>
        </w:rPr>
        <w:t>及连接景区道路，石台</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仙寓县道，莲花村上屋组等村庄。</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防治措施：继续开展仙寓镇莲花村上屋组的搬迁避让工作；对大演乡新联村三四组滑坡实施排危除险工作，对景区内的地灾隐患点加强监测，对威胁道路交通安全的地质灾害隐患点进行勘查治理；在地质灾害威胁的路段和景区，设置明显的警示标识。</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3.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丁香镇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仙寓镇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滑坡、崩塌地质灾害重点防治区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丁香镇南部、仙寓镇西北部、大演乡南部及县道沿线，面积100.89平方公里。滑坡、崩塌为本区主要地质灾害。区内人口密度较大，区内共有地质灾害隐患点5处，均为滑坡。威胁人员22人，财产91万元，且威胁到道路行车安全。重点防护对象为连接景区道路，莲花村上屋组等村庄。</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防治措施：对丁香镇红桃村马石组和大演乡剡溪村秧田滑坡点实施工程治理工作；在地质灾害威胁的路段设置明显的警示标识。</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对其他地灾</w:t>
      </w:r>
      <w:r>
        <w:rPr>
          <w:rFonts w:hint="default" w:ascii="Times New Roman" w:hAnsi="Times New Roman" w:eastAsia="方正仿宋_GBK" w:cs="Times New Roman"/>
          <w:color w:val="000000" w:themeColor="text1"/>
          <w:spacing w:val="2"/>
          <w:sz w:val="32"/>
          <w:szCs w:val="32"/>
          <w14:textFill>
            <w14:solidFill>
              <w14:schemeClr w14:val="tx1"/>
            </w14:solidFill>
          </w14:textFill>
        </w:rPr>
        <w:t>隐患点加强监测，对威胁道路交通安全的地质灾害隐患点进行勘查治理。</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color w:val="000000" w:themeColor="text1"/>
          <w:sz w:val="32"/>
          <w:szCs w:val="32"/>
          <w14:textFill>
            <w14:solidFill>
              <w14:schemeClr w14:val="tx1"/>
            </w14:solidFill>
          </w14:textFill>
        </w:rPr>
      </w:pPr>
      <w:r>
        <w:rPr>
          <w:rFonts w:hint="eastAsia" w:ascii="方正楷体_GBK" w:hAnsi="方正楷体_GBK" w:eastAsia="方正楷体_GBK" w:cs="方正楷体_GBK"/>
          <w:b/>
          <w:color w:val="000000" w:themeColor="text1"/>
          <w:sz w:val="32"/>
          <w:szCs w:val="32"/>
          <w:lang w:eastAsia="zh-CN"/>
          <w14:textFill>
            <w14:solidFill>
              <w14:schemeClr w14:val="tx1"/>
            </w14:solidFill>
          </w14:textFill>
        </w:rPr>
        <w:t>（二）</w:t>
      </w:r>
      <w:r>
        <w:rPr>
          <w:rFonts w:hint="eastAsia" w:ascii="方正楷体_GBK" w:hAnsi="方正楷体_GBK" w:eastAsia="方正楷体_GBK" w:cs="方正楷体_GBK"/>
          <w:b/>
          <w:color w:val="000000" w:themeColor="text1"/>
          <w:sz w:val="32"/>
          <w:szCs w:val="32"/>
          <w14:textFill>
            <w14:solidFill>
              <w14:schemeClr w14:val="tx1"/>
            </w14:solidFill>
          </w14:textFill>
        </w:rPr>
        <w:t>地质灾害次重点防治区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1.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仙寓镇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矶滩乡</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七都镇崩塌、滑坡、泥石流地质灾害次重点防治区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分布于矶滩乡西部、仙寓镇中部、大演乡中北部、丁香镇东部、仁里镇南部、横渡镇全部、七都镇大部</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面积740.72平方公里。滑坡、崩塌为本区主要地质灾害</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区内人口密度较大、人类工程活动较剧烈。共有地质灾害隐患点15处，其中滑坡9处，崩塌5处，泥石流1处，威胁人口134人，威胁财产630万元。重点防护对象为池州祁门高速、G530国道</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原S325省道升级</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、各条县道、山区道路及受地灾威胁的乡镇街区、村组、农田等。</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防治措施：对河西村狮马岭滑坡、鸿陵村车田组滑坡两处滑坡点实施排危除险，对仙寓镇莲花村中屋组崩塌、大演乡新塘村二组泥石流、七都镇新棚村杨梅坞组滑坡、横渡镇历坝村上林山组滑坡四处隐患点实施工程治理，并对其他各地质灾害隐患点加强监测；并对威胁到人员、财产安全的各地质灾害隐患点进行勘查治理或对受威胁人员进行搬迁避让。</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lang w:val="en-US" w:eastAsia="zh-CN"/>
          <w14:textFill>
            <w14:solidFill>
              <w14:schemeClr w14:val="tx1"/>
            </w14:solidFill>
          </w14:textFill>
        </w:rPr>
        <w:t xml:space="preserve">2. </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小河镇滑坡、崩塌地质灾害次重点防治区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分布于小河镇西南部，面积34.25平方公里。滑坡、崩塌为本区主要地质灾害</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区内人口密度较大，人类工程活动较强烈。</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存在</w:t>
      </w:r>
      <w:r>
        <w:rPr>
          <w:rFonts w:hint="default" w:ascii="Times New Roman" w:hAnsi="Times New Roman" w:eastAsia="方正仿宋_GBK" w:cs="Times New Roman"/>
          <w:color w:val="000000" w:themeColor="text1"/>
          <w:spacing w:val="2"/>
          <w:sz w:val="32"/>
          <w:szCs w:val="32"/>
          <w14:textFill>
            <w14:solidFill>
              <w14:schemeClr w14:val="tx1"/>
            </w14:solidFill>
          </w14:textFill>
        </w:rPr>
        <w:t>崩塌地质灾害隐患点1处，威胁人口2人，威胁财产5万元。G530国道</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原S325省道升级</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及受地质灾害威胁的村庄为重点防护对象。</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防治措施：加强监测，在公路上设置明显的警示标志。</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b/>
          <w:color w:val="000000" w:themeColor="text1"/>
          <w:sz w:val="32"/>
          <w:szCs w:val="32"/>
          <w14:textFill>
            <w14:solidFill>
              <w14:schemeClr w14:val="tx1"/>
            </w14:solidFill>
          </w14:textFill>
        </w:rPr>
      </w:pPr>
      <w:r>
        <w:rPr>
          <w:rFonts w:hint="eastAsia" w:ascii="方正楷体_GBK" w:hAnsi="方正楷体_GBK" w:eastAsia="方正楷体_GBK" w:cs="方正楷体_GBK"/>
          <w:b/>
          <w:color w:val="000000" w:themeColor="text1"/>
          <w:sz w:val="32"/>
          <w:szCs w:val="32"/>
          <w:lang w:eastAsia="zh-CN"/>
          <w14:textFill>
            <w14:solidFill>
              <w14:schemeClr w14:val="tx1"/>
            </w14:solidFill>
          </w14:textFill>
        </w:rPr>
        <w:t>（三）</w:t>
      </w:r>
      <w:r>
        <w:rPr>
          <w:rFonts w:hint="eastAsia" w:ascii="方正楷体_GBK" w:hAnsi="方正楷体_GBK" w:eastAsia="方正楷体_GBK" w:cs="方正楷体_GBK"/>
          <w:b/>
          <w:color w:val="000000" w:themeColor="text1"/>
          <w:sz w:val="32"/>
          <w:szCs w:val="32"/>
          <w14:textFill>
            <w14:solidFill>
              <w14:schemeClr w14:val="tx1"/>
            </w14:solidFill>
          </w14:textFill>
        </w:rPr>
        <w:t>地质灾害一般防治区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b/>
          <w:bCs/>
          <w:color w:val="000000" w:themeColor="text1"/>
          <w:spacing w:val="2"/>
          <w:sz w:val="32"/>
          <w:szCs w:val="32"/>
          <w14:textFill>
            <w14:solidFill>
              <w14:schemeClr w14:val="tx1"/>
            </w14:solidFill>
          </w14:textFill>
        </w:rPr>
      </w:pP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丁香镇</w:t>
      </w:r>
      <w:r>
        <w:rPr>
          <w:rFonts w:hint="default" w:ascii="Times New Roman" w:hAnsi="Times New Roman" w:eastAsia="方正仿宋_GBK" w:cs="Times New Roman"/>
          <w:b/>
          <w:bCs/>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b/>
          <w:bCs/>
          <w:color w:val="000000" w:themeColor="text1"/>
          <w:spacing w:val="2"/>
          <w:sz w:val="32"/>
          <w:szCs w:val="32"/>
          <w14:textFill>
            <w14:solidFill>
              <w14:schemeClr w14:val="tx1"/>
            </w14:solidFill>
          </w14:textFill>
        </w:rPr>
        <w:t>小河镇滑坡、崩塌、泥石流地质灾害一般防治区</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分布于小河镇大部、丁香镇北部、仁里镇、矶滩乡局部，面积153.06平方公里。本区主要地质灾害为滑坡。由于人类工程活动相对比较微弱，地质环境条件较好，地质灾害不发育。</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防治措施：加强地质灾害监测。</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石台县防治重点是规划期内完成搬迁避让2处，排危除险3处，工程治理8处，重点防范交通干线、大中型工矿企业、重要自然保护区、重要的城市工程、重大水利水电工程区的崩塌、滑坡灾害。</w:t>
      </w:r>
    </w:p>
    <w:p>
      <w:pPr>
        <w:pStyle w:val="3"/>
        <w:pageBreakBefore w:val="0"/>
        <w:kinsoku/>
        <w:wordWrap/>
        <w:overflowPunct/>
        <w:topLinePunct w:val="0"/>
        <w:bidi w:val="0"/>
        <w:snapToGrid/>
        <w:spacing w:before="0" w:after="0" w:line="590" w:lineRule="exact"/>
        <w:jc w:val="center"/>
        <w:rPr>
          <w:rFonts w:hint="default" w:ascii="方正小标宋_GBK" w:hAnsi="方正小标宋_GBK" w:eastAsia="方正小标宋_GBK" w:cs="方正小标宋_GBK"/>
          <w:b w:val="0"/>
          <w:bCs/>
          <w:color w:val="000000" w:themeColor="text1"/>
          <w:kern w:val="44"/>
          <w:sz w:val="40"/>
          <w:szCs w:val="40"/>
          <w:lang w:val="en-US" w:eastAsia="zh-CN" w:bidi="ar-SA"/>
          <w14:textFill>
            <w14:solidFill>
              <w14:schemeClr w14:val="tx1"/>
            </w14:solidFill>
          </w14:textFill>
        </w:rPr>
      </w:pPr>
      <w:bookmarkStart w:id="23" w:name="_Toc112677983"/>
      <w:r>
        <w:rPr>
          <w:rFonts w:hint="default" w:ascii="Times New Roman" w:hAnsi="Times New Roman" w:cs="Times New Roman"/>
          <w:b/>
          <w:color w:val="000000" w:themeColor="text1"/>
          <w:szCs w:val="32"/>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kern w:val="44"/>
          <w:sz w:val="40"/>
          <w:szCs w:val="40"/>
          <w:lang w:val="en-US" w:eastAsia="zh-CN" w:bidi="ar-SA"/>
          <w14:textFill>
            <w14:solidFill>
              <w14:schemeClr w14:val="tx1"/>
            </w14:solidFill>
          </w14:textFill>
        </w:rPr>
        <w:t>地质灾害防治任务</w:t>
      </w:r>
      <w:bookmarkEnd w:id="23"/>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Times New Roman" w:hAnsi="Times New Roman" w:eastAsia="楷体_GB2312" w:cs="Times New Roman"/>
          <w:color w:val="000000" w:themeColor="text1"/>
          <w14:textFill>
            <w14:solidFill>
              <w14:schemeClr w14:val="tx1"/>
            </w14:solidFill>
          </w14:textFill>
        </w:rPr>
      </w:pPr>
      <w:bookmarkStart w:id="24" w:name="_Toc112677984"/>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黑体_GBK" w:hAnsi="方正黑体_GBK" w:eastAsia="方正黑体_GBK" w:cs="方正黑体_GBK"/>
          <w:b w:val="0"/>
          <w:bCs w:val="0"/>
          <w:color w:val="000000" w:themeColor="text1"/>
          <w14:textFill>
            <w14:solidFill>
              <w14:schemeClr w14:val="tx1"/>
            </w14:solidFill>
          </w14:textFill>
        </w:rPr>
      </w:pPr>
      <w:r>
        <w:rPr>
          <w:rFonts w:hint="eastAsia" w:ascii="方正黑体_GBK" w:hAnsi="方正黑体_GBK" w:eastAsia="方正黑体_GBK" w:cs="方正黑体_GBK"/>
          <w:b w:val="0"/>
          <w:bCs w:val="0"/>
          <w:color w:val="000000" w:themeColor="text1"/>
          <w:lang w:eastAsia="zh-CN"/>
          <w14:textFill>
            <w14:solidFill>
              <w14:schemeClr w14:val="tx1"/>
            </w14:solidFill>
          </w14:textFill>
        </w:rPr>
        <w:t>一、</w:t>
      </w:r>
      <w:r>
        <w:rPr>
          <w:rFonts w:hint="eastAsia" w:ascii="方正黑体_GBK" w:hAnsi="方正黑体_GBK" w:eastAsia="方正黑体_GBK" w:cs="方正黑体_GBK"/>
          <w:b w:val="0"/>
          <w:bCs w:val="0"/>
          <w:color w:val="000000" w:themeColor="text1"/>
          <w14:textFill>
            <w14:solidFill>
              <w14:schemeClr w14:val="tx1"/>
            </w14:solidFill>
          </w14:textFill>
        </w:rPr>
        <w:t>全面掌握地质灾害风险底数</w:t>
      </w:r>
      <w:bookmarkEnd w:id="24"/>
    </w:p>
    <w:p>
      <w:pPr>
        <w:pageBreakBefore w:val="0"/>
        <w:kinsoku/>
        <w:wordWrap/>
        <w:overflowPunct/>
        <w:topLinePunct w:val="0"/>
        <w:bidi w:val="0"/>
        <w:snapToGrid/>
        <w:spacing w:line="590" w:lineRule="exact"/>
        <w:ind w:firstLine="648" w:firstLineChars="200"/>
        <w:jc w:val="both"/>
        <w:rPr>
          <w:rFonts w:hint="eastAsia" w:ascii="方正楷体_GBK" w:hAnsi="方正楷体_GBK" w:eastAsia="方正楷体_GBK" w:cs="方正楷体_GBK"/>
          <w:b/>
          <w:color w:val="000000" w:themeColor="text1"/>
          <w:spacing w:val="2"/>
          <w:sz w:val="32"/>
          <w:szCs w:val="32"/>
          <w14:textFill>
            <w14:solidFill>
              <w14:schemeClr w14:val="tx1"/>
            </w14:solidFill>
          </w14:textFill>
        </w:rPr>
      </w:pPr>
      <w:r>
        <w:rPr>
          <w:rFonts w:hint="eastAsia" w:ascii="方正楷体_GBK" w:hAnsi="方正楷体_GBK" w:eastAsia="方正楷体_GBK" w:cs="方正楷体_GBK"/>
          <w:b/>
          <w:color w:val="000000" w:themeColor="text1"/>
          <w:spacing w:val="2"/>
          <w:sz w:val="32"/>
          <w:szCs w:val="32"/>
          <w:lang w:eastAsia="zh-CN"/>
          <w14:textFill>
            <w14:solidFill>
              <w14:schemeClr w14:val="tx1"/>
            </w14:solidFill>
          </w14:textFill>
        </w:rPr>
        <w:t>（一）</w:t>
      </w:r>
      <w:r>
        <w:rPr>
          <w:rFonts w:hint="eastAsia" w:ascii="方正楷体_GBK" w:hAnsi="方正楷体_GBK" w:eastAsia="方正楷体_GBK" w:cs="方正楷体_GBK"/>
          <w:b/>
          <w:color w:val="000000" w:themeColor="text1"/>
          <w:spacing w:val="2"/>
          <w:sz w:val="32"/>
          <w:szCs w:val="32"/>
          <w14:textFill>
            <w14:solidFill>
              <w14:schemeClr w14:val="tx1"/>
            </w14:solidFill>
          </w14:textFill>
        </w:rPr>
        <w:t>深化地质灾害隐患早期识别</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依托专业技术单位和科研院校建设的基于多源光学遥感和雷达大数据支持下的地质灾害综合遥感识别平台，开展无人机、中高分辨率InSAR测量、机载激光雷达测量等高精度遥感调查，获取地质灾害重点区域高精度的地表形变数据和隐患信息，强化物联网、大数据、人工智能等技术支持，综合分析研判，及时捕捉灾险情前兆和灾变信息，提前预报预警，不断提高地质灾害早期识别能力。</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（二）完成地质灾害风险调查</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全面开展1</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5万地质灾害风险调查评价，完成全县地质灾害极高、高、中、低风险区划。针对地质灾害威胁严重的集镇、迁建区、集中安置点等人口聚集区，适时开展1</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1万地质灾害风险调查评价。地质灾害风险调查评价成果为地质灾害风险防控服务平台和风险区管控，提供地质灾害隐患点和风险区底数等数据，为国土空间规划编制提供依据。</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（三）持续开展地质灾害“三查”工作</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严格落实地质灾害汛前调查、汛中巡查、汛后核查制度，按照“横向到边、纵向到底”的原则，查责任落实、查地质灾害隐患、查地质灾害类型定性是否属实、查地质灾害危险程度是否属实、查灾情险情（威胁对象受损情况、坡体稳定性和威胁对象危险性）变化，确保每一处地质灾害隐患有监测人、有责任人，做到一点一案、一点一策。</w:t>
      </w:r>
      <w:bookmarkStart w:id="25" w:name="_Hlk85621901"/>
      <w:r>
        <w:rPr>
          <w:rFonts w:hint="default" w:ascii="Times New Roman" w:hAnsi="Times New Roman" w:eastAsia="方正仿宋_GBK" w:cs="Times New Roman"/>
          <w:color w:val="000000" w:themeColor="text1"/>
          <w:spacing w:val="2"/>
          <w:sz w:val="32"/>
          <w:szCs w:val="32"/>
          <w14:textFill>
            <w14:solidFill>
              <w14:schemeClr w14:val="tx1"/>
            </w14:solidFill>
          </w14:textFill>
        </w:rPr>
        <w:t>进一步加大地质灾害“雨前排查、雨中巡查、雨后核查”力度，最大限度地发现“隐患在哪里”，将新增隐患点及时纳入数据库进行管理。</w:t>
      </w:r>
    </w:p>
    <w:bookmarkEnd w:id="25"/>
    <w:p>
      <w:pPr>
        <w:pageBreakBefore w:val="0"/>
        <w:kinsoku/>
        <w:wordWrap/>
        <w:overflowPunct/>
        <w:topLinePunct w:val="0"/>
        <w:bidi w:val="0"/>
        <w:snapToGrid/>
        <w:spacing w:line="590" w:lineRule="exact"/>
        <w:ind w:firstLine="648" w:firstLineChars="200"/>
        <w:jc w:val="both"/>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pPr>
      <w:bookmarkStart w:id="26" w:name="_Toc112677985"/>
      <w:r>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t>二、不断加强监测预警体系建设</w:t>
      </w:r>
      <w:bookmarkEnd w:id="26"/>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（一）完善地质灾害气象风险预警预报体系</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借助市级地质灾害气象风险预警预报平台推送的相关预警预报信息，及时转发，并利用广播、电视、网络、短信、电话和人工传报等方式，实时、靶向将预警信息发送到各级防灾责任人、群测群防员和受威胁群众手中。加强地质灾害监测预警移动客户端，提高监测预警系统的实用性和便利性。适时推进县级地质灾害气象风险预警预报工作，不断推进并加强地质灾害监测预警平台建设，实现县级地质灾害气象风险预警预报覆盖，且与省、市级地质灾害监测预警平台实现互联互通，最终实现地质灾害监测预警、指挥调度、数据库更新等智能化预警、一站化管理、精准化监测，实现24小时常规预警与12小时动态预警相结合，不断提升地质灾害气象风险预报预警精准度和时效性。</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（二）增建雨量站点</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综合利用气象、水利等各部门的雨量监测资源，加强降水站点信息分析，在地质灾害隐患点周边增建雨量站5个，基本实现风险性较高的地质灾害隐患点雨量站应建尽建，逐步实现区域全覆盖。</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（三）完善群专结合监测网络</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继续发挥群测群防在地质灾害防治中的“哨兵”作用，保持地质灾害隐患点群测群防全覆盖。针对威胁人口较多、危险性较大、风险较高的地质灾害隐患点，科学布设裂缝计、土壤含水率仪、GNSS卫星定位仪、倾角计和加速度计等普适型地质灾害监测设备，实时、精准监测隐患点动态变化。</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“十四五”期间</w:t>
      </w:r>
      <w:r>
        <w:rPr>
          <w:rFonts w:hint="default" w:ascii="Times New Roman" w:hAnsi="Times New Roman" w:eastAsia="方正仿宋_GBK" w:cs="Times New Roman"/>
          <w:color w:val="000000" w:themeColor="text1"/>
          <w:spacing w:val="2"/>
          <w:sz w:val="32"/>
          <w:szCs w:val="32"/>
          <w14:textFill>
            <w14:solidFill>
              <w14:schemeClr w14:val="tx1"/>
            </w14:solidFill>
          </w14:textFill>
        </w:rPr>
        <w:t>在全县重要地质灾害隐患点陆续完成普适型监测设备安装3处。</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（四）完善网格化管理体系</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各</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乡镇</w:t>
      </w:r>
      <w:r>
        <w:rPr>
          <w:rFonts w:hint="default" w:ascii="Times New Roman" w:hAnsi="Times New Roman" w:eastAsia="方正仿宋_GBK" w:cs="Times New Roman"/>
          <w:color w:val="000000" w:themeColor="text1"/>
          <w:spacing w:val="2"/>
          <w:sz w:val="32"/>
          <w:szCs w:val="32"/>
          <w14:textFill>
            <w14:solidFill>
              <w14:schemeClr w14:val="tx1"/>
            </w14:solidFill>
          </w14:textFill>
        </w:rPr>
        <w:t>要不断优化地质灾害网格化管理体系，继续推进“乡（镇）、村（社区）、自然资源所、专业地质人员、群测群防员</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五位一体”协同管理，实现任务到岗、责任到人、落实到位，确保强降雨期间24小时有人值守、有人监测、有人巡查、有人预警。充分发挥专业队伍技术优势，强降雨期间或遭遇极端天气，在地质灾害</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高发</w:t>
      </w:r>
      <w:r>
        <w:rPr>
          <w:rFonts w:hint="default" w:ascii="Times New Roman" w:hAnsi="Times New Roman" w:eastAsia="方正仿宋_GBK" w:cs="Times New Roman"/>
          <w:color w:val="000000" w:themeColor="text1"/>
          <w:spacing w:val="2"/>
          <w:sz w:val="32"/>
          <w:szCs w:val="32"/>
          <w14:textFill>
            <w14:solidFill>
              <w14:schemeClr w14:val="tx1"/>
            </w14:solidFill>
          </w14:textFill>
        </w:rPr>
        <w:t>易发区的重点乡镇至少安排1名专业技术人员驻地工作提供技术服务，及时研判地质灾害隐患点变化趋势，及时发送预警信息，提前采取各项防范措施。</w:t>
      </w:r>
    </w:p>
    <w:p>
      <w:pPr>
        <w:pageBreakBefore w:val="0"/>
        <w:kinsoku/>
        <w:wordWrap/>
        <w:overflowPunct/>
        <w:topLinePunct w:val="0"/>
        <w:bidi w:val="0"/>
        <w:snapToGrid/>
        <w:spacing w:line="590" w:lineRule="exact"/>
        <w:ind w:firstLine="648" w:firstLineChars="200"/>
        <w:jc w:val="both"/>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pPr>
      <w:bookmarkStart w:id="27" w:name="_Toc112677986"/>
      <w:r>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t>三、深入推进地质灾害综合治理</w:t>
      </w:r>
      <w:bookmarkEnd w:id="27"/>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（一）大力实施避险搬迁工程</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对风险等级高的地质灾害隐患点，结合新农村、美好乡村、特色小镇、乡村振兴、土地综合整治、生态保护修复等政策，统筹安排，尊重群众意愿，充分考虑“搬得出、稳得住、能致富”的要求，实施搬迁避让，及时防范化解灾害风险。“十四五”期间，计划实施搬迁避让2处。</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 xml:space="preserve">（二）稳步推进地质灾害工程治理 </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对威胁县城、集镇、学校、景区、重要基础设施和人口聚集区，且难以实施避险搬迁的极高、高风险地质灾害隐患点和经识别、调查新发现的稳定性差、风险等级高、不宜避让搬迁的地质灾害隐患点，实施工程治理。对受损或防治能力降低的地质灾害治理工程，应及时采取清淤、加固、维护、修缮等措施，确保防治工程长期安全稳定运行。对险情紧迫、治理措施相对简单的地质灾害隐患点，采取投入少、工期短、见效快的工程治理措施，及时排危除险，切实减轻灾害威胁。计划实施工程治理8处，实施排危除险工程3处。</w:t>
      </w:r>
    </w:p>
    <w:p>
      <w:pPr>
        <w:pageBreakBefore w:val="0"/>
        <w:kinsoku/>
        <w:wordWrap/>
        <w:overflowPunct/>
        <w:topLinePunct w:val="0"/>
        <w:bidi w:val="0"/>
        <w:snapToGrid/>
        <w:spacing w:line="590" w:lineRule="exact"/>
        <w:ind w:firstLine="648" w:firstLineChars="200"/>
        <w:jc w:val="both"/>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pPr>
      <w:bookmarkStart w:id="28" w:name="_Toc112677987"/>
      <w:bookmarkStart w:id="29" w:name="_Toc501830735"/>
      <w:r>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t>四、着力提升地质灾害防治能力</w:t>
      </w:r>
      <w:bookmarkEnd w:id="28"/>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（一）健全完善地质灾害防御技术支撑体系</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继续依托安徽省地质环境监测站池州市监测站、安徽省地勘局324地质队等专业技术单位，不断建立健全县级地质灾害防御技术支撑体系。继续完善地质灾害网格化管理，加强地质灾害防治专家团队建设，及时补充完善汛期驻守专家队伍，全面推行专业技术队伍驻县包乡，建立延伸至乡镇基层的地质灾害防御体系，将防灾措施落实到点、到户、到人，打通地质灾害防治“最后一公里”。</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（二）提升地质灾害防御保障能力</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加快新技术、新方法、新装备的推广应用，综合利用地勘单位或科研院校配置的中低空数据、地基数据采集、数据传输网络、车载或船载式地质灾害技术保障系统等专业化技术装备，加强地质灾害野外用车保障，大幅提升地质灾害防御信息获取能力、通信保障能力和数据综合分析能力。</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（三）推动全社会参与防灾减灾</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依托基层社会治理体系，充分发挥乡村干部、群测群防员、社会工作者、志愿者和公众等各类人员防灾减灾积极性和主动性，逐步形成政府主导、人人参与、人人尽责、共建共享的地质灾害防治新局面；探索构建市场主导、政策支持的地质灾害保险体系，引入社会力量有效应对灾害风险。针对全县量大、面广的切坡建房隐患，乡镇政府应切实担负起管理责任，积极引导切坡建房户自查、自测、自防、自治，有效降低灾害风险。</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（四）推进“隐患点+风险区”双控管理模式</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在现有运行的地质灾害隐患点防控体系基础上，基于1:5万地质灾害风险调查评价结果，综合考虑地质、地形、诱发因素、承灾体等，划定更为精确和精细的风险防范区，形成“隐患点+风险区”双控管理机制、责任体系和技术方法，力争解决发生的地质灾害点为非在册隐患点的难题。“十四五”末，全县逐步实现地质灾害 “隐患点+风险区”双控管理模式，初步形成“一点一区一管控”的工作机制。</w:t>
      </w:r>
    </w:p>
    <w:bookmarkEnd w:id="29"/>
    <w:p>
      <w:pPr>
        <w:pageBreakBefore w:val="0"/>
        <w:kinsoku/>
        <w:wordWrap/>
        <w:overflowPunct/>
        <w:topLinePunct w:val="0"/>
        <w:bidi w:val="0"/>
        <w:snapToGrid/>
        <w:spacing w:line="590" w:lineRule="exact"/>
        <w:ind w:firstLine="648" w:firstLineChars="200"/>
        <w:jc w:val="both"/>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pPr>
      <w:bookmarkStart w:id="30" w:name="_Toc112677988"/>
      <w:r>
        <w:rPr>
          <w:rFonts w:hint="default"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t>五、强化地质灾害防治科学研究</w:t>
      </w:r>
      <w:bookmarkEnd w:id="30"/>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（一）加强地质灾害形成机理研究</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努力解决“隐患在哪里”“结构是什么”“什么时候发生”等关键问题</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加强极端天气引发地质灾害、预警阈值、监测预警判据等研究，提高地质灾害防治科技水平。</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（二）构建地质灾害防治科普体系</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紧紧围绕防范化解地质灾害风险主题，制作地质灾害防治科普教材和产品</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加强典型案例宣传，构建适应不同对象和不同需求的地质灾害防治科普体系，全面加强地质灾害防治常识宣传培训，切实有效提升人民群众的识灾、防灾、避灾和自救、互救能力。</w:t>
      </w:r>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bookmarkStart w:id="31" w:name="_Hlk85622513"/>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（三）助力地质灾害防治科研平台建设</w:t>
      </w:r>
    </w:p>
    <w:bookmarkEnd w:id="31"/>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bookmarkStart w:id="32" w:name="_Hlk85623016"/>
      <w:r>
        <w:rPr>
          <w:rFonts w:hint="default" w:ascii="Times New Roman" w:hAnsi="Times New Roman" w:eastAsia="方正仿宋_GBK" w:cs="Times New Roman"/>
          <w:color w:val="000000" w:themeColor="text1"/>
          <w:spacing w:val="2"/>
          <w:sz w:val="32"/>
          <w:szCs w:val="32"/>
          <w14:textFill>
            <w14:solidFill>
              <w14:schemeClr w14:val="tx1"/>
            </w14:solidFill>
          </w14:textFill>
        </w:rPr>
        <w:t>依托安徽省地质灾害防治技术支撑单位，</w:t>
      </w:r>
      <w:bookmarkEnd w:id="32"/>
      <w:r>
        <w:rPr>
          <w:rFonts w:hint="default" w:ascii="Times New Roman" w:hAnsi="Times New Roman" w:eastAsia="方正仿宋_GBK" w:cs="Times New Roman"/>
          <w:color w:val="000000" w:themeColor="text1"/>
          <w:spacing w:val="2"/>
          <w:sz w:val="32"/>
          <w:szCs w:val="32"/>
          <w14:textFill>
            <w14:solidFill>
              <w14:schemeClr w14:val="tx1"/>
            </w14:solidFill>
          </w14:textFill>
        </w:rPr>
        <w:t>优选高等院校及地质灾害防治相关企业，聚集一批专家学者，致力于全县地质灾害防治关键技术研究，在政府、科研院所、生产单位之间建立一条紧密联系的纽带，助力安徽省地质灾害防治的科研平台。</w:t>
      </w:r>
    </w:p>
    <w:p>
      <w:pPr>
        <w:pageBreakBefore w:val="0"/>
        <w:kinsoku/>
        <w:wordWrap/>
        <w:overflowPunct/>
        <w:topLinePunct w:val="0"/>
        <w:bidi w:val="0"/>
        <w:snapToGrid/>
        <w:spacing w:line="590" w:lineRule="exact"/>
        <w:ind w:firstLine="648" w:firstLineChars="200"/>
        <w:jc w:val="both"/>
        <w:rPr>
          <w:rFonts w:hint="eastAsia"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pPr>
      <w:bookmarkStart w:id="33" w:name="_Toc81494202"/>
      <w:bookmarkStart w:id="34" w:name="_Toc112677989"/>
      <w:r>
        <w:rPr>
          <w:rFonts w:hint="eastAsia" w:ascii="方正黑体_GBK" w:hAnsi="方正黑体_GBK" w:eastAsia="方正黑体_GBK" w:cs="方正黑体_GBK"/>
          <w:b w:val="0"/>
          <w:bCs/>
          <w:color w:val="000000" w:themeColor="text1"/>
          <w:spacing w:val="2"/>
          <w:sz w:val="32"/>
          <w:szCs w:val="32"/>
          <w:lang w:eastAsia="zh-CN"/>
          <w14:textFill>
            <w14:solidFill>
              <w14:schemeClr w14:val="tx1"/>
            </w14:solidFill>
          </w14:textFill>
        </w:rPr>
        <w:t>六、提高全流程信息化管理水平</w:t>
      </w:r>
      <w:bookmarkEnd w:id="33"/>
      <w:bookmarkEnd w:id="34"/>
    </w:p>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bookmarkStart w:id="35" w:name="_Hlk85622616"/>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（一）建立完善地质灾害隐患数据库</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bookmarkStart w:id="36" w:name="_Hlk85622761"/>
      <w:r>
        <w:rPr>
          <w:rFonts w:hint="default" w:ascii="Times New Roman" w:hAnsi="Times New Roman" w:eastAsia="方正仿宋_GBK" w:cs="Times New Roman"/>
          <w:color w:val="000000" w:themeColor="text1"/>
          <w:spacing w:val="2"/>
          <w:sz w:val="32"/>
          <w:szCs w:val="32"/>
          <w14:textFill>
            <w14:solidFill>
              <w14:schemeClr w14:val="tx1"/>
            </w14:solidFill>
          </w14:textFill>
        </w:rPr>
        <w:t>建立完善地质灾害隐患点数据库，对危险性较高的地质灾害隐患点进行实景三维建模，</w:t>
      </w:r>
      <w:bookmarkEnd w:id="36"/>
      <w:r>
        <w:rPr>
          <w:rFonts w:hint="default" w:ascii="Times New Roman" w:hAnsi="Times New Roman" w:eastAsia="方正仿宋_GBK" w:cs="Times New Roman"/>
          <w:color w:val="000000" w:themeColor="text1"/>
          <w:spacing w:val="2"/>
          <w:sz w:val="32"/>
          <w:szCs w:val="32"/>
          <w14:textFill>
            <w14:solidFill>
              <w14:schemeClr w14:val="tx1"/>
            </w14:solidFill>
          </w14:textFill>
        </w:rPr>
        <w:t>形成</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多源数据</w:t>
      </w:r>
      <w:r>
        <w:rPr>
          <w:rFonts w:hint="default" w:ascii="Times New Roman" w:hAnsi="Times New Roman" w:eastAsia="方正仿宋_GBK" w:cs="Times New Roman"/>
          <w:color w:val="000000" w:themeColor="text1"/>
          <w:spacing w:val="2"/>
          <w:sz w:val="32"/>
          <w:szCs w:val="32"/>
          <w14:textFill>
            <w14:solidFill>
              <w14:schemeClr w14:val="tx1"/>
            </w14:solidFill>
          </w14:textFill>
        </w:rPr>
        <w:t>高度集成的地质灾害隐患全息数据库。实行地质灾害防治全流程信息化管理，实现调查评价、监测预警、工程治理、搬迁避让和灾险情信息等“一张图”管理，为地质灾害防治工作提供有力数据支撑。</w:t>
      </w:r>
    </w:p>
    <w:bookmarkEnd w:id="35"/>
    <w:p>
      <w:pPr>
        <w:pageBreakBefore w:val="0"/>
        <w:kinsoku/>
        <w:wordWrap/>
        <w:overflowPunct/>
        <w:topLinePunct w:val="0"/>
        <w:bidi w:val="0"/>
        <w:snapToGrid/>
        <w:spacing w:line="590" w:lineRule="exact"/>
        <w:ind w:firstLine="648" w:firstLineChars="200"/>
        <w:jc w:val="both"/>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pPr>
      <w:r>
        <w:rPr>
          <w:rFonts w:hint="default" w:ascii="方正楷体_GBK" w:hAnsi="方正楷体_GBK" w:eastAsia="方正楷体_GBK" w:cs="方正楷体_GBK"/>
          <w:b/>
          <w:color w:val="000000" w:themeColor="text1"/>
          <w:spacing w:val="2"/>
          <w:sz w:val="32"/>
          <w:szCs w:val="32"/>
          <w:lang w:eastAsia="zh-CN"/>
          <w14:textFill>
            <w14:solidFill>
              <w14:schemeClr w14:val="tx1"/>
            </w14:solidFill>
          </w14:textFill>
        </w:rPr>
        <w:t>（二）借助地质灾害风险防控智慧服务平台</w:t>
      </w:r>
    </w:p>
    <w:p>
      <w:pPr>
        <w:pageBreakBefore w:val="0"/>
        <w:kinsoku/>
        <w:wordWrap/>
        <w:overflowPunct/>
        <w:topLinePunct w:val="0"/>
        <w:bidi w:val="0"/>
        <w:snapToGrid/>
        <w:spacing w:line="590" w:lineRule="exact"/>
        <w:ind w:firstLine="648" w:firstLineChars="200"/>
        <w:rPr>
          <w:rFonts w:hint="default" w:ascii="Times New Roman" w:hAnsi="Times New Roman" w:eastAsia="仿宋_GB2312"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利用市级地质灾害监测预警平台搭建的地质灾害风险防控智慧服务模块，实现省、市、县地质灾害信息管理系统互联互通，分级分类管理地质灾害隐患点和风险区，有条件时充分运用物联网、大数据、区块链、云计算和人工智能等现代信息技术，集成地质灾害信息管理、在线监测、灾险情处置和指挥调度系统，为管理部门提供决策支撑，为专业人员提供技术支持，为群测群防员和受威胁群众及时推送监测预警信息，为社会公众提供信息查询服务。</w:t>
      </w:r>
    </w:p>
    <w:p>
      <w:pPr>
        <w:pageBreakBefore w:val="0"/>
        <w:kinsoku/>
        <w:wordWrap/>
        <w:overflowPunct/>
        <w:topLinePunct w:val="0"/>
        <w:bidi w:val="0"/>
        <w:snapToGrid/>
        <w:spacing w:line="590" w:lineRule="exact"/>
        <w:jc w:val="center"/>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pPr>
      <w:bookmarkStart w:id="37" w:name="_Toc112677990"/>
      <w:r>
        <w:rPr>
          <w:rFonts w:hint="default" w:ascii="Times New Roman" w:hAnsi="Times New Roman" w:cs="Times New Roman"/>
          <w:b/>
          <w:color w:val="000000" w:themeColor="text1"/>
          <w:szCs w:val="32"/>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t>经费估算</w:t>
      </w:r>
      <w:bookmarkEnd w:id="37"/>
    </w:p>
    <w:p>
      <w:pPr>
        <w:pageBreakBefore w:val="0"/>
        <w:kinsoku/>
        <w:wordWrap/>
        <w:overflowPunct/>
        <w:topLinePunct w:val="0"/>
        <w:bidi w:val="0"/>
        <w:snapToGrid/>
        <w:spacing w:line="590" w:lineRule="exact"/>
        <w:ind w:firstLine="648" w:firstLineChars="200"/>
        <w:rPr>
          <w:rFonts w:hint="default" w:ascii="Times New Roman" w:hAnsi="Times New Roman" w:eastAsia="仿宋_GB2312" w:cs="Times New Roman"/>
          <w:color w:val="000000" w:themeColor="text1"/>
          <w:spacing w:val="2"/>
          <w:sz w:val="32"/>
          <w:szCs w:val="32"/>
          <w14:textFill>
            <w14:solidFill>
              <w14:schemeClr w14:val="tx1"/>
            </w14:solidFill>
          </w14:textFill>
        </w:rPr>
      </w:pP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“十四五”期间石台县地质灾害防治经费总估算3238万元（见表2）。</w:t>
      </w:r>
    </w:p>
    <w:p>
      <w:pPr>
        <w:pageBreakBefore w:val="0"/>
        <w:kinsoku/>
        <w:wordWrap/>
        <w:overflowPunct/>
        <w:topLinePunct w:val="0"/>
        <w:bidi w:val="0"/>
        <w:snapToGrid/>
        <w:spacing w:line="590" w:lineRule="exact"/>
        <w:ind w:firstLine="648" w:firstLineChars="200"/>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地质灾害调查评价经费估算420万元。其中地质灾害隐患综合遥感识别经费15万元，1：5万风险调查经费230万元，1</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1万乡镇地质灾害详细调查评价100万元，地质灾害“三查”工作75万元。</w:t>
      </w:r>
    </w:p>
    <w:p>
      <w:pPr>
        <w:pageBreakBefore w:val="0"/>
        <w:widowControl/>
        <w:kinsoku/>
        <w:wordWrap/>
        <w:overflowPunct/>
        <w:topLinePunct w:val="0"/>
        <w:bidi w:val="0"/>
        <w:snapToGrid/>
        <w:spacing w:line="590" w:lineRule="exact"/>
        <w:ind w:firstLine="560" w:firstLineChars="200"/>
        <w:jc w:val="left"/>
        <w:textAlignment w:val="center"/>
        <w:rPr>
          <w:rFonts w:hint="default" w:ascii="Times New Roman" w:hAnsi="Times New Roman" w:eastAsia="仿宋_GB2312" w:cs="Times New Roman"/>
          <w:b/>
          <w:color w:val="000000" w:themeColor="text1"/>
          <w:sz w:val="28"/>
          <w:szCs w:val="28"/>
          <w14:textFill>
            <w14:solidFill>
              <w14:schemeClr w14:val="tx1"/>
            </w14:solidFill>
          </w14:textFill>
        </w:rPr>
      </w:pPr>
      <w:r>
        <w:rPr>
          <w:rFonts w:hint="default" w:ascii="Times New Roman" w:hAnsi="Times New Roman" w:eastAsia="仿宋_GB2312" w:cs="Times New Roman"/>
          <w:b/>
          <w:color w:val="000000" w:themeColor="text1"/>
          <w:sz w:val="28"/>
          <w:szCs w:val="28"/>
          <w14:textFill>
            <w14:solidFill>
              <w14:schemeClr w14:val="tx1"/>
            </w14:solidFill>
          </w14:textFill>
        </w:rPr>
        <w:t>表2        石台县“十四五”地质灾害防治经费估算总表</w:t>
      </w:r>
    </w:p>
    <w:tbl>
      <w:tblPr>
        <w:tblStyle w:val="9"/>
        <w:tblW w:w="94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7"/>
        <w:gridCol w:w="2404"/>
        <w:gridCol w:w="1268"/>
        <w:gridCol w:w="1268"/>
        <w:gridCol w:w="1034"/>
        <w:gridCol w:w="1163"/>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noWrap/>
            <w:vAlign w:val="center"/>
          </w:tcPr>
          <w:p>
            <w:pPr>
              <w:widowControl/>
              <w:jc w:val="center"/>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防治任务</w:t>
            </w:r>
          </w:p>
        </w:tc>
        <w:tc>
          <w:tcPr>
            <w:tcW w:w="2404" w:type="dxa"/>
            <w:noWrap/>
            <w:vAlign w:val="center"/>
          </w:tcPr>
          <w:p>
            <w:pPr>
              <w:widowControl/>
              <w:jc w:val="center"/>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规划内容</w:t>
            </w:r>
          </w:p>
        </w:tc>
        <w:tc>
          <w:tcPr>
            <w:tcW w:w="1268" w:type="dxa"/>
            <w:noWrap/>
            <w:vAlign w:val="center"/>
          </w:tcPr>
          <w:p>
            <w:pPr>
              <w:widowControl/>
              <w:jc w:val="center"/>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时间安排</w:t>
            </w:r>
          </w:p>
        </w:tc>
        <w:tc>
          <w:tcPr>
            <w:tcW w:w="1268" w:type="dxa"/>
            <w:noWrap/>
            <w:vAlign w:val="center"/>
          </w:tcPr>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工作量</w:t>
            </w:r>
          </w:p>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及范围</w:t>
            </w:r>
          </w:p>
        </w:tc>
        <w:tc>
          <w:tcPr>
            <w:tcW w:w="1034" w:type="dxa"/>
            <w:noWrap w:val="0"/>
            <w:vAlign w:val="center"/>
          </w:tcPr>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资金</w:t>
            </w:r>
          </w:p>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来源</w:t>
            </w:r>
          </w:p>
        </w:tc>
        <w:tc>
          <w:tcPr>
            <w:tcW w:w="1163" w:type="dxa"/>
            <w:noWrap/>
            <w:vAlign w:val="center"/>
          </w:tcPr>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经费</w:t>
            </w:r>
          </w:p>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估算</w:t>
            </w:r>
          </w:p>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cs="Times New Roman"/>
                <w:b/>
                <w:bCs/>
                <w:color w:val="000000" w:themeColor="text1"/>
                <w:kern w:val="0"/>
                <w:sz w:val="24"/>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4"/>
                <w14:textFill>
                  <w14:solidFill>
                    <w14:schemeClr w14:val="tx1"/>
                  </w14:solidFill>
                </w14:textFill>
              </w:rPr>
              <w:t>万元）</w:t>
            </w:r>
          </w:p>
        </w:tc>
        <w:tc>
          <w:tcPr>
            <w:tcW w:w="1034" w:type="dxa"/>
            <w:noWrap/>
            <w:vAlign w:val="center"/>
          </w:tcPr>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eastAsia="仿宋_GB2312" w:cs="Times New Roman"/>
                <w:b/>
                <w:bCs/>
                <w:color w:val="000000" w:themeColor="text1"/>
                <w:kern w:val="0"/>
                <w:sz w:val="24"/>
                <w14:textFill>
                  <w14:solidFill>
                    <w14:schemeClr w14:val="tx1"/>
                  </w14:solidFill>
                </w14:textFill>
              </w:rPr>
              <w:t>合计</w:t>
            </w:r>
          </w:p>
          <w:p>
            <w:pPr>
              <w:widowControl/>
              <w:jc w:val="both"/>
              <w:rPr>
                <w:rFonts w:hint="default" w:ascii="Times New Roman" w:hAnsi="Times New Roman" w:eastAsia="仿宋_GB2312" w:cs="Times New Roman"/>
                <w:b/>
                <w:bCs/>
                <w:color w:val="000000" w:themeColor="text1"/>
                <w:kern w:val="0"/>
                <w:sz w:val="24"/>
                <w14:textFill>
                  <w14:solidFill>
                    <w14:schemeClr w14:val="tx1"/>
                  </w14:solidFill>
                </w14:textFill>
              </w:rPr>
            </w:pPr>
            <w:r>
              <w:rPr>
                <w:rFonts w:hint="default" w:ascii="Times New Roman" w:hAnsi="Times New Roman" w:cs="Times New Roman"/>
                <w:b/>
                <w:bCs/>
                <w:color w:val="000000" w:themeColor="text1"/>
                <w:kern w:val="0"/>
                <w:sz w:val="24"/>
                <w:lang w:val="en-US"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4"/>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1" w:hRule="exact"/>
        </w:trPr>
        <w:tc>
          <w:tcPr>
            <w:tcW w:w="1267" w:type="dxa"/>
            <w:vMerge w:val="restart"/>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调查评价</w:t>
            </w: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lang w:bidi="ar"/>
                <w14:textFill>
                  <w14:solidFill>
                    <w14:schemeClr w14:val="tx1"/>
                  </w14:solidFill>
                </w14:textFill>
              </w:rPr>
              <w:t>地质灾害隐患遥感识别</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全县</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省级财政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15</w:t>
            </w:r>
          </w:p>
        </w:tc>
        <w:tc>
          <w:tcPr>
            <w:tcW w:w="1034" w:type="dxa"/>
            <w:vMerge w:val="restart"/>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县级1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5万地质灾害风险调查评价</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2022</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全县</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省级财政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230</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8" w:hRule="atLeas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重点乡镇1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1万地质灾害详细调查</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1个乡镇</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100</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9" w:hRule="exac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地质灾害“三查”工作</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全县</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区级财政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75</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vMerge w:val="restart"/>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监测预警</w:t>
            </w: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雨量站点建设与维护</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5个站点　</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6</w:t>
            </w:r>
          </w:p>
        </w:tc>
        <w:tc>
          <w:tcPr>
            <w:tcW w:w="1034" w:type="dxa"/>
            <w:vMerge w:val="restart"/>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地质灾害监测设备安装</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3个站点</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省级财政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6</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网格化体系建设</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全县</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50</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利用市级气象预警平台</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2023</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1个</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vMerge w:val="restart"/>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综合治理</w:t>
            </w: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地质灾害搬迁避让</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2个隐患点</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w:t>
            </w:r>
          </w:p>
        </w:tc>
        <w:tc>
          <w:tcPr>
            <w:tcW w:w="1034" w:type="dxa"/>
            <w:vMerge w:val="restart"/>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地质灾害治理工程</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2022</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8个隐患点</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2440</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1267"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地质灾害排危除险</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3个隐患点</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60</w:t>
            </w:r>
          </w:p>
        </w:tc>
        <w:tc>
          <w:tcPr>
            <w:tcW w:w="1034" w:type="dxa"/>
            <w:vMerge w:val="continue"/>
            <w:noWrap w:val="0"/>
            <w:vAlign w:val="center"/>
          </w:tcPr>
          <w:p>
            <w:pPr>
              <w:widowControl/>
              <w:jc w:val="left"/>
              <w:rPr>
                <w:rFonts w:hint="default" w:ascii="Times New Roman" w:hAnsi="Times New Roman" w:eastAsia="仿宋_GB2312"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vMerge w:val="restart"/>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基层防灾能力建设</w:t>
            </w: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基层防灾能力建设</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全县</w:t>
            </w: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100</w:t>
            </w:r>
          </w:p>
        </w:tc>
        <w:tc>
          <w:tcPr>
            <w:tcW w:w="1034" w:type="dxa"/>
            <w:vMerge w:val="restart"/>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trPr>
        <w:tc>
          <w:tcPr>
            <w:tcW w:w="1267" w:type="dxa"/>
            <w:vMerge w:val="continue"/>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p>
        </w:tc>
        <w:tc>
          <w:tcPr>
            <w:tcW w:w="2404"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法规建设、地灾科普宣传</w:t>
            </w:r>
          </w:p>
        </w:tc>
        <w:tc>
          <w:tcPr>
            <w:tcW w:w="1268"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全县</w:t>
            </w:r>
          </w:p>
        </w:tc>
        <w:tc>
          <w:tcPr>
            <w:tcW w:w="1034" w:type="dxa"/>
            <w:noWrap w:val="0"/>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县级财政</w:t>
            </w:r>
          </w:p>
        </w:tc>
        <w:tc>
          <w:tcPr>
            <w:tcW w:w="1163" w:type="dxa"/>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20</w:t>
            </w:r>
          </w:p>
        </w:tc>
        <w:tc>
          <w:tcPr>
            <w:tcW w:w="1034" w:type="dxa"/>
            <w:vMerge w:val="continue"/>
            <w:noWrap/>
            <w:vAlign w:val="center"/>
          </w:tcPr>
          <w:p>
            <w:pPr>
              <w:widowControl/>
              <w:jc w:val="center"/>
              <w:rPr>
                <w:rFonts w:hint="default" w:ascii="Times New Roman" w:hAnsi="Times New Roman" w:cs="Times New Roman"/>
                <w:color w:val="000000" w:themeColor="text1"/>
                <w:kern w:val="0"/>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267"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信息化建设</w:t>
            </w:r>
          </w:p>
        </w:tc>
        <w:tc>
          <w:tcPr>
            <w:tcW w:w="240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地质灾害信息化</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2021</w:t>
            </w:r>
            <w:r>
              <w:rPr>
                <w:rFonts w:hint="default" w:ascii="Times New Roman" w:hAnsi="Times New Roman" w:cs="Times New Roman"/>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kern w:val="0"/>
                <w:sz w:val="20"/>
                <w:szCs w:val="20"/>
                <w14:textFill>
                  <w14:solidFill>
                    <w14:schemeClr w14:val="tx1"/>
                  </w14:solidFill>
                </w14:textFill>
              </w:rPr>
              <w:t>2025</w:t>
            </w:r>
          </w:p>
        </w:tc>
        <w:tc>
          <w:tcPr>
            <w:tcW w:w="1268"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p>
        </w:tc>
        <w:tc>
          <w:tcPr>
            <w:tcW w:w="1034" w:type="dxa"/>
            <w:noWrap w:val="0"/>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省、市、县财政</w:t>
            </w:r>
          </w:p>
        </w:tc>
        <w:tc>
          <w:tcPr>
            <w:tcW w:w="1163"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50</w:t>
            </w:r>
          </w:p>
        </w:tc>
        <w:tc>
          <w:tcPr>
            <w:tcW w:w="1034" w:type="dxa"/>
            <w:noWrap/>
            <w:vAlign w:val="center"/>
          </w:tcPr>
          <w:p>
            <w:pPr>
              <w:widowControl/>
              <w:jc w:val="center"/>
              <w:rPr>
                <w:rFonts w:hint="default" w:ascii="Times New Roman" w:hAnsi="Times New Roman" w:eastAsia="仿宋_GB2312" w:cs="Times New Roman"/>
                <w:color w:val="000000" w:themeColor="text1"/>
                <w:kern w:val="0"/>
                <w:sz w:val="20"/>
                <w:szCs w:val="20"/>
                <w14:textFill>
                  <w14:solidFill>
                    <w14:schemeClr w14:val="tx1"/>
                  </w14:solidFill>
                </w14:textFill>
              </w:rPr>
            </w:pPr>
            <w:r>
              <w:rPr>
                <w:rFonts w:hint="default" w:ascii="Times New Roman" w:hAnsi="Times New Roman" w:eastAsia="仿宋_GB2312" w:cs="Times New Roman"/>
                <w:color w:val="000000" w:themeColor="text1"/>
                <w:kern w:val="0"/>
                <w:sz w:val="20"/>
                <w:szCs w:val="20"/>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exact"/>
        </w:trPr>
        <w:tc>
          <w:tcPr>
            <w:tcW w:w="7241" w:type="dxa"/>
            <w:gridSpan w:val="5"/>
            <w:noWrap/>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合  计</w:t>
            </w:r>
          </w:p>
        </w:tc>
        <w:tc>
          <w:tcPr>
            <w:tcW w:w="1163" w:type="dxa"/>
            <w:noWrap/>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3238</w:t>
            </w:r>
          </w:p>
        </w:tc>
        <w:tc>
          <w:tcPr>
            <w:tcW w:w="1034" w:type="dxa"/>
            <w:noWrap/>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3238</w:t>
            </w:r>
          </w:p>
        </w:tc>
      </w:tr>
    </w:tbl>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地质灾害监测预警经费估算62万元。其中量站点建设与维护6万元，地质灾害监测设备安装6万元，网格化体系建设50万元。</w:t>
      </w:r>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地质灾害综合治理经费估算2586万元。其中搬迁避让20万元，工程治理经费2440万元，排危除险经费60万元。</w:t>
      </w:r>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基层地质灾害防治能力建设经费估算120万元。</w:t>
      </w:r>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信息化建设经费估算50万元。</w:t>
      </w:r>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经费来源主要积极争取省、市级财政补助资金和专项资金，不足部分执行地方配套措施。</w:t>
      </w:r>
    </w:p>
    <w:p>
      <w:pPr>
        <w:pStyle w:val="3"/>
        <w:pageBreakBefore w:val="0"/>
        <w:widowControl w:val="0"/>
        <w:kinsoku/>
        <w:wordWrap/>
        <w:overflowPunct/>
        <w:topLinePunct w:val="0"/>
        <w:autoSpaceDE/>
        <w:autoSpaceDN/>
        <w:bidi w:val="0"/>
        <w:snapToGrid/>
        <w:spacing w:before="0" w:after="0" w:line="590" w:lineRule="exact"/>
        <w:jc w:val="center"/>
        <w:textAlignment w:val="auto"/>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pPr>
      <w:bookmarkStart w:id="38" w:name="_Toc112677991"/>
      <w:r>
        <w:rPr>
          <w:rFonts w:hint="default" w:ascii="Times New Roman" w:hAnsi="Times New Roman" w:eastAsia="方正仿宋_GBK" w:cs="Times New Roman"/>
          <w:b/>
          <w:color w:val="000000" w:themeColor="text1"/>
          <w:sz w:val="32"/>
          <w:szCs w:val="32"/>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t>保障措施</w:t>
      </w:r>
      <w:bookmarkEnd w:id="38"/>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eastAsia="楷体_GB2312" w:cs="Times New Roman"/>
          <w:b/>
          <w:bCs/>
          <w:color w:val="000000" w:themeColor="text1"/>
          <w:lang w:eastAsia="zh-CN"/>
          <w14:textFill>
            <w14:solidFill>
              <w14:schemeClr w14:val="tx1"/>
            </w14:solidFill>
          </w14:textFill>
        </w:rPr>
      </w:pPr>
      <w:bookmarkStart w:id="39" w:name="_Toc111443557"/>
      <w:bookmarkStart w:id="40" w:name="_Toc112677992"/>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eastAsia" w:ascii="方正黑体_GBK" w:hAnsi="方正黑体_GBK" w:eastAsia="方正黑体_GBK" w:cs="方正黑体_GBK"/>
          <w:b w:val="0"/>
          <w:bCs w:val="0"/>
          <w:color w:val="000000" w:themeColor="text1"/>
          <w:sz w:val="32"/>
          <w:szCs w:val="32"/>
          <w14:textFill>
            <w14:solidFill>
              <w14:schemeClr w14:val="tx1"/>
            </w14:solidFill>
          </w14:textFill>
        </w:rPr>
      </w:pPr>
      <w:r>
        <w:rPr>
          <w:rFonts w:hint="eastAsia" w:ascii="方正黑体_GBK" w:hAnsi="方正黑体_GBK" w:eastAsia="方正黑体_GBK" w:cs="方正黑体_GBK"/>
          <w:b w:val="0"/>
          <w:bCs w:val="0"/>
          <w:color w:val="000000" w:themeColor="text1"/>
          <w:sz w:val="32"/>
          <w:szCs w:val="32"/>
          <w:lang w:eastAsia="zh-CN"/>
          <w14:textFill>
            <w14:solidFill>
              <w14:schemeClr w14:val="tx1"/>
            </w14:solidFill>
          </w14:textFill>
        </w:rPr>
        <w:t>一、</w:t>
      </w:r>
      <w:r>
        <w:rPr>
          <w:rFonts w:hint="eastAsia" w:ascii="方正黑体_GBK" w:hAnsi="方正黑体_GBK" w:eastAsia="方正黑体_GBK" w:cs="方正黑体_GBK"/>
          <w:b w:val="0"/>
          <w:bCs w:val="0"/>
          <w:color w:val="000000" w:themeColor="text1"/>
          <w:sz w:val="32"/>
          <w:szCs w:val="32"/>
          <w14:textFill>
            <w14:solidFill>
              <w14:schemeClr w14:val="tx1"/>
            </w14:solidFill>
          </w14:textFill>
        </w:rPr>
        <w:t>加强组织领导</w:t>
      </w:r>
      <w:bookmarkEnd w:id="39"/>
      <w:bookmarkEnd w:id="40"/>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各乡镇要</w:t>
      </w:r>
      <w:r>
        <w:rPr>
          <w:rFonts w:hint="default" w:ascii="Times New Roman" w:hAnsi="Times New Roman" w:eastAsia="方正仿宋_GBK" w:cs="Times New Roman"/>
          <w:color w:val="000000" w:themeColor="text1"/>
          <w:spacing w:val="2"/>
          <w:sz w:val="32"/>
          <w:szCs w:val="32"/>
          <w14:textFill>
            <w14:solidFill>
              <w14:schemeClr w14:val="tx1"/>
            </w14:solidFill>
          </w14:textFill>
        </w:rPr>
        <w:t>高度重视地质灾害防治工作，按照“党委领导、政府主导”“分级负责、属地管理”的原则，强化规划实施的统一领导，建立完善逐级负责制。自然资源</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和规划局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、应急</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管理局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、水利</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、住建</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、交通</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运输局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科技经信局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、气象</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局</w:t>
      </w:r>
      <w:r>
        <w:rPr>
          <w:rFonts w:hint="default" w:ascii="Times New Roman" w:hAnsi="Times New Roman" w:eastAsia="方正仿宋_GBK" w:cs="Times New Roman"/>
          <w:color w:val="000000" w:themeColor="text1"/>
          <w:spacing w:val="2"/>
          <w:sz w:val="32"/>
          <w:szCs w:val="32"/>
          <w14:textFill>
            <w14:solidFill>
              <w14:schemeClr w14:val="tx1"/>
            </w14:solidFill>
          </w14:textFill>
        </w:rPr>
        <w:t>等相关部门应严格落实责任分工，各司其职，密切协作，齐抓共管，形成合力，层层落实防治责任和措施，确保按时保质保量完成各项任务。</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方正黑体_GBK" w:hAnsi="方正黑体_GBK" w:eastAsia="方正黑体_GBK" w:cs="方正黑体_GBK"/>
          <w:b w:val="0"/>
          <w:bCs w:val="0"/>
          <w:color w:val="000000" w:themeColor="text1"/>
          <w:sz w:val="32"/>
          <w:szCs w:val="32"/>
          <w:lang w:eastAsia="zh-CN"/>
          <w14:textFill>
            <w14:solidFill>
              <w14:schemeClr w14:val="tx1"/>
            </w14:solidFill>
          </w14:textFill>
        </w:rPr>
      </w:pPr>
      <w:bookmarkStart w:id="41" w:name="_Toc112677993"/>
      <w:r>
        <w:rPr>
          <w:rFonts w:hint="default" w:ascii="方正黑体_GBK" w:hAnsi="方正黑体_GBK" w:eastAsia="方正黑体_GBK" w:cs="方正黑体_GBK"/>
          <w:b w:val="0"/>
          <w:bCs w:val="0"/>
          <w:color w:val="000000" w:themeColor="text1"/>
          <w:sz w:val="32"/>
          <w:szCs w:val="32"/>
          <w:lang w:eastAsia="zh-CN"/>
          <w14:textFill>
            <w14:solidFill>
              <w14:schemeClr w14:val="tx1"/>
            </w14:solidFill>
          </w14:textFill>
        </w:rPr>
        <w:t>二、加大资金保障</w:t>
      </w:r>
      <w:bookmarkEnd w:id="41"/>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加大</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对乡镇</w:t>
      </w:r>
      <w:r>
        <w:rPr>
          <w:rFonts w:hint="default" w:ascii="Times New Roman" w:hAnsi="Times New Roman" w:eastAsia="方正仿宋_GBK" w:cs="Times New Roman"/>
          <w:color w:val="000000" w:themeColor="text1"/>
          <w:spacing w:val="2"/>
          <w:sz w:val="32"/>
          <w:szCs w:val="32"/>
          <w14:textFill>
            <w14:solidFill>
              <w14:schemeClr w14:val="tx1"/>
            </w14:solidFill>
          </w14:textFill>
        </w:rPr>
        <w:t>财政和社会力量对规划实施的支持力度，科学合理划分地方财政事权与支出责任，建立政府、社会和责任者共同参与的地质灾害经费投入机制。</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各乡镇</w:t>
      </w:r>
      <w:r>
        <w:rPr>
          <w:rFonts w:hint="default" w:ascii="Times New Roman" w:hAnsi="Times New Roman" w:eastAsia="方正仿宋_GBK" w:cs="Times New Roman"/>
          <w:color w:val="000000" w:themeColor="text1"/>
          <w:spacing w:val="2"/>
          <w:sz w:val="32"/>
          <w:szCs w:val="32"/>
          <w14:textFill>
            <w14:solidFill>
              <w14:schemeClr w14:val="tx1"/>
            </w14:solidFill>
          </w14:textFill>
        </w:rPr>
        <w:t>一定要把规划实施与乡村振兴、村庄整治、生态移民紧密结合起来，加大资金投入，形成政策措施合力，切实提高地质灾害防治工作的资金保障水平和投入效率。积极争取中央地质灾害防治资金支持，充分发挥省级财政资金引导作用，主动引导社会资金参与，积极探索“政府主导、政策扶持、社会参与、开发式治理、市场化运作”的地质灾害防治新模式。</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方正黑体_GBK" w:hAnsi="方正黑体_GBK" w:eastAsia="方正黑体_GBK" w:cs="方正黑体_GBK"/>
          <w:b w:val="0"/>
          <w:bCs w:val="0"/>
          <w:color w:val="000000" w:themeColor="text1"/>
          <w:sz w:val="32"/>
          <w:szCs w:val="32"/>
          <w:lang w:eastAsia="zh-CN"/>
          <w14:textFill>
            <w14:solidFill>
              <w14:schemeClr w14:val="tx1"/>
            </w14:solidFill>
          </w14:textFill>
        </w:rPr>
      </w:pPr>
      <w:bookmarkStart w:id="42" w:name="_Toc112677994"/>
      <w:r>
        <w:rPr>
          <w:rFonts w:hint="default" w:ascii="方正黑体_GBK" w:hAnsi="方正黑体_GBK" w:eastAsia="方正黑体_GBK" w:cs="方正黑体_GBK"/>
          <w:b w:val="0"/>
          <w:bCs w:val="0"/>
          <w:color w:val="000000" w:themeColor="text1"/>
          <w:sz w:val="32"/>
          <w:szCs w:val="32"/>
          <w:lang w:eastAsia="zh-CN"/>
          <w14:textFill>
            <w14:solidFill>
              <w14:schemeClr w14:val="tx1"/>
            </w14:solidFill>
          </w14:textFill>
        </w:rPr>
        <w:t>三、加强监督考核</w:t>
      </w:r>
      <w:bookmarkEnd w:id="42"/>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14:textFill>
            <w14:solidFill>
              <w14:schemeClr w14:val="tx1"/>
            </w14:solidFill>
          </w14:textFill>
        </w:rPr>
        <w:t>完善规划实施动态监测和绩效考评机制。县、乡</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lang w:val="en-US" w:eastAsia="zh-CN"/>
          <w14:textFill>
            <w14:solidFill>
              <w14:schemeClr w14:val="tx1"/>
            </w14:solidFill>
          </w14:textFill>
        </w:rPr>
        <w:t>镇</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w:t>
      </w:r>
      <w:r>
        <w:rPr>
          <w:rFonts w:hint="default" w:ascii="Times New Roman" w:hAnsi="Times New Roman" w:eastAsia="方正仿宋_GBK" w:cs="Times New Roman"/>
          <w:color w:val="000000" w:themeColor="text1"/>
          <w:spacing w:val="2"/>
          <w:sz w:val="32"/>
          <w:szCs w:val="32"/>
          <w14:textFill>
            <w14:solidFill>
              <w14:schemeClr w14:val="tx1"/>
            </w14:solidFill>
          </w14:textFill>
        </w:rPr>
        <w:t>政府应将规划实施列入重要议事日程，结合本地实际对规划方案进行细化，对目标任务进行分解，并纳入地方年度绩效目标考核，考核结果作为领导班子和领导干部综合考核的重要内容。各</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乡镇、县自然资源和规划局要</w:t>
      </w:r>
      <w:r>
        <w:rPr>
          <w:rFonts w:hint="default" w:ascii="Times New Roman" w:hAnsi="Times New Roman" w:eastAsia="方正仿宋_GBK" w:cs="Times New Roman"/>
          <w:color w:val="000000" w:themeColor="text1"/>
          <w:spacing w:val="2"/>
          <w:sz w:val="32"/>
          <w:szCs w:val="32"/>
          <w14:textFill>
            <w14:solidFill>
              <w14:schemeClr w14:val="tx1"/>
            </w14:solidFill>
          </w14:textFill>
        </w:rPr>
        <w:t>发挥好地质灾害防治组织、协调、指导和监督作用，坚持巡查排查，构建地质灾害隐患动态发现机制，及时将新发现的隐患纳入地质灾害数据库统一管理。对已通过搬迁避让、工程治理、排危除险等措施消除隐患威胁的，及时予以动态销号。应急、水利、住建、交通、地震、气象等部门应按照职责分工，加强协调配合、联防联动，做好相关领域和行业地质灾害防治工作。</w:t>
      </w:r>
    </w:p>
    <w:p>
      <w:pPr>
        <w:pStyle w:val="2"/>
        <w:keepNext/>
        <w:keepLines/>
        <w:pageBreakBefore w:val="0"/>
        <w:widowControl w:val="0"/>
        <w:kinsoku/>
        <w:wordWrap/>
        <w:overflowPunct/>
        <w:topLinePunct w:val="0"/>
        <w:autoSpaceDE/>
        <w:autoSpaceDN/>
        <w:bidi w:val="0"/>
        <w:adjustRightInd w:val="0"/>
        <w:snapToGrid/>
        <w:spacing w:before="0" w:beforeLines="0" w:after="0" w:afterLines="0" w:line="590" w:lineRule="exact"/>
        <w:ind w:firstLine="640" w:firstLineChars="200"/>
        <w:jc w:val="both"/>
        <w:textAlignment w:val="auto"/>
        <w:rPr>
          <w:rFonts w:hint="default" w:ascii="方正黑体_GBK" w:hAnsi="方正黑体_GBK" w:eastAsia="方正黑体_GBK" w:cs="方正黑体_GBK"/>
          <w:b w:val="0"/>
          <w:bCs w:val="0"/>
          <w:color w:val="000000" w:themeColor="text1"/>
          <w:sz w:val="32"/>
          <w:szCs w:val="32"/>
          <w:lang w:eastAsia="zh-CN"/>
          <w14:textFill>
            <w14:solidFill>
              <w14:schemeClr w14:val="tx1"/>
            </w14:solidFill>
          </w14:textFill>
        </w:rPr>
      </w:pPr>
      <w:bookmarkStart w:id="43" w:name="_Toc112677995"/>
      <w:r>
        <w:rPr>
          <w:rFonts w:hint="default" w:ascii="方正黑体_GBK" w:hAnsi="方正黑体_GBK" w:eastAsia="方正黑体_GBK" w:cs="方正黑体_GBK"/>
          <w:b w:val="0"/>
          <w:bCs w:val="0"/>
          <w:color w:val="000000" w:themeColor="text1"/>
          <w:sz w:val="32"/>
          <w:szCs w:val="32"/>
          <w:lang w:eastAsia="zh-CN"/>
          <w14:textFill>
            <w14:solidFill>
              <w14:schemeClr w14:val="tx1"/>
            </w14:solidFill>
          </w14:textFill>
        </w:rPr>
        <w:t>四、加强宣传教育</w:t>
      </w:r>
      <w:bookmarkEnd w:id="43"/>
    </w:p>
    <w:p>
      <w:pPr>
        <w:pageBreakBefore w:val="0"/>
        <w:widowControl w:val="0"/>
        <w:kinsoku/>
        <w:wordWrap/>
        <w:overflowPunct/>
        <w:topLinePunct w:val="0"/>
        <w:autoSpaceDE/>
        <w:autoSpaceDN/>
        <w:bidi w:val="0"/>
        <w:snapToGrid/>
        <w:spacing w:line="590" w:lineRule="exact"/>
        <w:ind w:firstLine="648" w:firstLineChars="200"/>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各乡镇</w:t>
      </w:r>
      <w:r>
        <w:rPr>
          <w:rFonts w:hint="default" w:ascii="Times New Roman" w:hAnsi="Times New Roman" w:eastAsia="方正仿宋_GBK" w:cs="Times New Roman"/>
          <w:color w:val="000000" w:themeColor="text1"/>
          <w:spacing w:val="2"/>
          <w:sz w:val="32"/>
          <w:szCs w:val="32"/>
          <w14:textFill>
            <w14:solidFill>
              <w14:schemeClr w14:val="tx1"/>
            </w14:solidFill>
          </w14:textFill>
        </w:rPr>
        <w:t>和有关部门要将地质灾害防治法律法规、科学知识纳入年度培训教育计划，动员全社会力量积极参与地质灾害防治工作，搭建科研机构、大专院校与一线地质灾害防治单位的“产、学、研、用”合作交流平台，通过多层次、多形式的培训、科普和避险转移演练，加大地质灾害防治宣传力度，提高政府、部门、单位和民众的防灾减灾意识，实现“要我防”到“我要防”的观念转变，让地质灾害防治成为全部地质灾害隐患区的自觉行动，筑牢战胜地质灾害的全面防线。</w:t>
      </w:r>
    </w:p>
    <w:p>
      <w:pPr>
        <w:pStyle w:val="3"/>
        <w:pageBreakBefore w:val="0"/>
        <w:widowControl w:val="0"/>
        <w:kinsoku/>
        <w:wordWrap/>
        <w:overflowPunct/>
        <w:topLinePunct w:val="0"/>
        <w:autoSpaceDE/>
        <w:autoSpaceDN/>
        <w:bidi w:val="0"/>
        <w:snapToGrid/>
        <w:spacing w:before="0" w:after="0" w:line="590" w:lineRule="exact"/>
        <w:jc w:val="center"/>
        <w:textAlignment w:val="auto"/>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pPr>
      <w:bookmarkStart w:id="44" w:name="_Toc112677996"/>
      <w:r>
        <w:rPr>
          <w:rFonts w:hint="default" w:ascii="Times New Roman" w:hAnsi="Times New Roman" w:eastAsia="方正仿宋_GBK" w:cs="Times New Roman"/>
          <w:b w:val="0"/>
          <w:bCs/>
          <w:color w:val="000000" w:themeColor="text1"/>
          <w:sz w:val="32"/>
          <w:szCs w:val="32"/>
          <w:lang w:eastAsia="zh-CN"/>
          <w14:textFill>
            <w14:solidFill>
              <w14:schemeClr w14:val="tx1"/>
            </w14:solidFill>
          </w14:textFill>
        </w:rPr>
        <w:br w:type="page"/>
      </w:r>
      <w:r>
        <w:rPr>
          <w:rFonts w:hint="eastAsia" w:ascii="方正小标宋_GBK" w:hAnsi="方正小标宋_GBK" w:eastAsia="方正小标宋_GBK" w:cs="方正小标宋_GBK"/>
          <w:b w:val="0"/>
          <w:bCs/>
          <w:color w:val="000000" w:themeColor="text1"/>
          <w:sz w:val="40"/>
          <w:szCs w:val="40"/>
          <w14:textFill>
            <w14:solidFill>
              <w14:schemeClr w14:val="tx1"/>
            </w14:solidFill>
          </w14:textFill>
        </w:rPr>
        <w:t>附　　则</w:t>
      </w:r>
      <w:bookmarkEnd w:id="44"/>
    </w:p>
    <w:p>
      <w:pPr>
        <w:pageBreakBefore w:val="0"/>
        <w:widowControl w:val="0"/>
        <w:kinsoku/>
        <w:wordWrap/>
        <w:overflowPunct/>
        <w:topLinePunct w:val="0"/>
        <w:autoSpaceDE/>
        <w:autoSpaceDN/>
        <w:bidi w:val="0"/>
        <w:snapToGrid/>
        <w:spacing w:line="590" w:lineRule="exact"/>
        <w:ind w:firstLine="648" w:firstLineChars="200"/>
        <w:jc w:val="both"/>
        <w:textAlignment w:val="auto"/>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pPr>
    </w:p>
    <w:p>
      <w:pPr>
        <w:pageBreakBefore w:val="0"/>
        <w:widowControl w:val="0"/>
        <w:kinsoku/>
        <w:wordWrap/>
        <w:overflowPunct/>
        <w:topLinePunct w:val="0"/>
        <w:autoSpaceDE/>
        <w:autoSpaceDN/>
        <w:bidi w:val="0"/>
        <w:snapToGrid/>
        <w:spacing w:line="590" w:lineRule="exact"/>
        <w:ind w:firstLine="648" w:firstLineChars="200"/>
        <w:jc w:val="both"/>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（一）</w:t>
      </w:r>
      <w:r>
        <w:rPr>
          <w:rFonts w:hint="default" w:ascii="Times New Roman" w:hAnsi="Times New Roman" w:eastAsia="方正仿宋_GBK" w:cs="Times New Roman"/>
          <w:color w:val="000000" w:themeColor="text1"/>
          <w:spacing w:val="2"/>
          <w:sz w:val="32"/>
          <w:szCs w:val="32"/>
          <w14:textFill>
            <w14:solidFill>
              <w14:schemeClr w14:val="tx1"/>
            </w14:solidFill>
          </w14:textFill>
        </w:rPr>
        <w:t>本规划成果包括规划文本、附表、附图，具有同等法律效力</w:t>
      </w: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，由</w:t>
      </w:r>
      <w:r>
        <w:rPr>
          <w:rFonts w:hint="default" w:ascii="Times New Roman" w:hAnsi="Times New Roman" w:eastAsia="方正仿宋_GBK" w:cs="Times New Roman"/>
          <w:color w:val="000000" w:themeColor="text1"/>
          <w:spacing w:val="2"/>
          <w:sz w:val="32"/>
          <w:szCs w:val="32"/>
          <w14:textFill>
            <w14:solidFill>
              <w14:schemeClr w14:val="tx1"/>
            </w14:solidFill>
          </w14:textFill>
        </w:rPr>
        <w:t>石台县自然资源和规划局负责本规划解释。</w:t>
      </w:r>
    </w:p>
    <w:p>
      <w:pPr>
        <w:pageBreakBefore w:val="0"/>
        <w:widowControl w:val="0"/>
        <w:kinsoku/>
        <w:wordWrap/>
        <w:overflowPunct/>
        <w:topLinePunct w:val="0"/>
        <w:autoSpaceDE/>
        <w:autoSpaceDN/>
        <w:bidi w:val="0"/>
        <w:snapToGrid/>
        <w:spacing w:line="590" w:lineRule="exact"/>
        <w:ind w:firstLine="648" w:firstLineChars="200"/>
        <w:jc w:val="both"/>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（二）</w:t>
      </w:r>
      <w:r>
        <w:rPr>
          <w:rFonts w:hint="default" w:ascii="Times New Roman" w:hAnsi="Times New Roman" w:eastAsia="方正仿宋_GBK" w:cs="Times New Roman"/>
          <w:color w:val="000000" w:themeColor="text1"/>
          <w:spacing w:val="2"/>
          <w:sz w:val="32"/>
          <w:szCs w:val="32"/>
          <w14:textFill>
            <w14:solidFill>
              <w14:schemeClr w14:val="tx1"/>
            </w14:solidFill>
          </w14:textFill>
        </w:rPr>
        <w:t>本规划未尽事宜，按照国家、安徽省、池州市有关规定执行。</w:t>
      </w:r>
    </w:p>
    <w:p>
      <w:pPr>
        <w:pageBreakBefore w:val="0"/>
        <w:widowControl w:val="0"/>
        <w:kinsoku/>
        <w:wordWrap/>
        <w:overflowPunct/>
        <w:topLinePunct w:val="0"/>
        <w:autoSpaceDE/>
        <w:autoSpaceDN/>
        <w:bidi w:val="0"/>
        <w:snapToGrid/>
        <w:spacing w:line="590" w:lineRule="exact"/>
        <w:ind w:firstLine="648" w:firstLineChars="200"/>
        <w:jc w:val="both"/>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r>
        <w:rPr>
          <w:rFonts w:hint="default" w:ascii="Times New Roman" w:hAnsi="Times New Roman" w:eastAsia="方正仿宋_GBK" w:cs="Times New Roman"/>
          <w:color w:val="000000" w:themeColor="text1"/>
          <w:spacing w:val="2"/>
          <w:sz w:val="32"/>
          <w:szCs w:val="32"/>
          <w:lang w:eastAsia="zh-CN"/>
          <w14:textFill>
            <w14:solidFill>
              <w14:schemeClr w14:val="tx1"/>
            </w14:solidFill>
          </w14:textFill>
        </w:rPr>
        <w:t>（三）</w:t>
      </w:r>
      <w:r>
        <w:rPr>
          <w:rFonts w:hint="default" w:ascii="Times New Roman" w:hAnsi="Times New Roman" w:eastAsia="方正仿宋_GBK" w:cs="Times New Roman"/>
          <w:color w:val="000000" w:themeColor="text1"/>
          <w:spacing w:val="2"/>
          <w:sz w:val="32"/>
          <w:szCs w:val="32"/>
          <w14:textFill>
            <w14:solidFill>
              <w14:schemeClr w14:val="tx1"/>
            </w14:solidFill>
          </w14:textFill>
        </w:rPr>
        <w:t>本规划自批准之日起实施。</w:t>
      </w:r>
    </w:p>
    <w:p>
      <w:pPr>
        <w:pStyle w:val="2"/>
        <w:pageBreakBefore w:val="0"/>
        <w:widowControl w:val="0"/>
        <w:kinsoku/>
        <w:wordWrap/>
        <w:overflowPunct/>
        <w:topLinePunct w:val="0"/>
        <w:autoSpaceDE/>
        <w:autoSpaceDN/>
        <w:bidi w:val="0"/>
        <w:snapToGrid/>
        <w:spacing w:line="590" w:lineRule="exact"/>
        <w:textAlignment w:val="auto"/>
        <w:rPr>
          <w:rFonts w:hint="default" w:ascii="Times New Roman" w:hAnsi="Times New Roman" w:eastAsia="方正仿宋_GBK" w:cs="Times New Roman"/>
          <w:color w:val="000000" w:themeColor="text1"/>
          <w:spacing w:val="2"/>
          <w:sz w:val="32"/>
          <w:szCs w:val="32"/>
          <w14:textFill>
            <w14:solidFill>
              <w14:schemeClr w14:val="tx1"/>
            </w14:solidFill>
          </w14:textFill>
        </w:rPr>
      </w:pPr>
    </w:p>
    <w:p>
      <w:pPr>
        <w:pageBreakBefore w:val="0"/>
        <w:widowControl w:val="0"/>
        <w:kinsoku/>
        <w:wordWrap/>
        <w:overflowPunct/>
        <w:topLinePunct w:val="0"/>
        <w:autoSpaceDE/>
        <w:autoSpaceDN/>
        <w:bidi w:val="0"/>
        <w:snapToGrid/>
        <w:spacing w:line="590" w:lineRule="exact"/>
        <w:ind w:firstLine="640" w:firstLineChars="200"/>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附</w:t>
      </w:r>
      <w:r>
        <w:rPr>
          <w:rFonts w:hint="default" w:ascii="Times New Roman" w:hAnsi="Times New Roman" w:eastAsia="方正仿宋_GBK" w:cs="Times New Roman"/>
          <w:b w:val="0"/>
          <w:bCs w:val="0"/>
          <w:color w:val="000000" w:themeColor="text1"/>
          <w:sz w:val="32"/>
          <w:szCs w:val="32"/>
          <w:lang w:eastAsia="zh-CN"/>
          <w14:textFill>
            <w14:solidFill>
              <w14:schemeClr w14:val="tx1"/>
            </w14:solidFill>
          </w14:textFill>
        </w:rPr>
        <w:t>件</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：1</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石台县地质灾害易发区简表</w:t>
      </w:r>
    </w:p>
    <w:p>
      <w:pPr>
        <w:pageBreakBefore w:val="0"/>
        <w:widowControl w:val="0"/>
        <w:kinsoku/>
        <w:wordWrap/>
        <w:overflowPunct/>
        <w:topLinePunct w:val="0"/>
        <w:autoSpaceDE/>
        <w:autoSpaceDN/>
        <w:bidi w:val="0"/>
        <w:snapToGrid/>
        <w:spacing w:line="590" w:lineRule="exact"/>
        <w:ind w:firstLine="1600" w:firstLineChars="500"/>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2</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 xml:space="preserve"> 石台县地质灾害防治分区简表</w:t>
      </w:r>
    </w:p>
    <w:p>
      <w:pPr>
        <w:pageBreakBefore w:val="0"/>
        <w:widowControl w:val="0"/>
        <w:kinsoku/>
        <w:wordWrap/>
        <w:overflowPunct/>
        <w:topLinePunct w:val="0"/>
        <w:autoSpaceDE/>
        <w:autoSpaceDN/>
        <w:bidi w:val="0"/>
        <w:snapToGrid/>
        <w:spacing w:line="590" w:lineRule="exact"/>
        <w:ind w:firstLine="1600" w:firstLineChars="500"/>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3</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 xml:space="preserve"> 石台县“十四五”重点乡镇1：1万地质灾害详细</w:t>
      </w:r>
    </w:p>
    <w:p>
      <w:pPr>
        <w:pageBreakBefore w:val="0"/>
        <w:widowControl w:val="0"/>
        <w:kinsoku/>
        <w:wordWrap/>
        <w:overflowPunct/>
        <w:topLinePunct w:val="0"/>
        <w:autoSpaceDE/>
        <w:autoSpaceDN/>
        <w:bidi w:val="0"/>
        <w:snapToGrid/>
        <w:spacing w:line="590" w:lineRule="exact"/>
        <w:ind w:firstLine="1920" w:firstLineChars="600"/>
        <w:jc w:val="both"/>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调查表</w:t>
      </w:r>
    </w:p>
    <w:p>
      <w:pPr>
        <w:pageBreakBefore w:val="0"/>
        <w:widowControl w:val="0"/>
        <w:kinsoku/>
        <w:wordWrap/>
        <w:overflowPunct/>
        <w:topLinePunct w:val="0"/>
        <w:autoSpaceDE/>
        <w:autoSpaceDN/>
        <w:bidi w:val="0"/>
        <w:snapToGrid/>
        <w:spacing w:line="590" w:lineRule="exact"/>
        <w:ind w:firstLine="1600" w:firstLineChars="500"/>
        <w:jc w:val="both"/>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4</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石台县“十四五”地质灾害搬迁避让项目估算表</w:t>
      </w:r>
    </w:p>
    <w:p>
      <w:pPr>
        <w:pageBreakBefore w:val="0"/>
        <w:widowControl w:val="0"/>
        <w:kinsoku/>
        <w:wordWrap/>
        <w:overflowPunct/>
        <w:topLinePunct w:val="0"/>
        <w:autoSpaceDE/>
        <w:autoSpaceDN/>
        <w:bidi w:val="0"/>
        <w:snapToGrid/>
        <w:spacing w:line="590" w:lineRule="exact"/>
        <w:ind w:firstLine="1600" w:firstLineChars="500"/>
        <w:jc w:val="both"/>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5</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石台县“十四五”地质灾害排危除险项目估算表</w:t>
      </w:r>
    </w:p>
    <w:p>
      <w:pPr>
        <w:pageBreakBefore w:val="0"/>
        <w:widowControl w:val="0"/>
        <w:kinsoku/>
        <w:wordWrap/>
        <w:overflowPunct/>
        <w:topLinePunct w:val="0"/>
        <w:autoSpaceDE/>
        <w:autoSpaceDN/>
        <w:bidi w:val="0"/>
        <w:snapToGrid/>
        <w:spacing w:line="590" w:lineRule="exact"/>
        <w:ind w:firstLine="1600" w:firstLineChars="500"/>
        <w:jc w:val="both"/>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6</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石台县“十四五”地质灾害工程治理项目估算表</w:t>
      </w:r>
    </w:p>
    <w:p>
      <w:pPr>
        <w:pageBreakBefore w:val="0"/>
        <w:widowControl w:val="0"/>
        <w:kinsoku/>
        <w:wordWrap/>
        <w:overflowPunct/>
        <w:topLinePunct w:val="0"/>
        <w:autoSpaceDE/>
        <w:autoSpaceDN/>
        <w:bidi w:val="0"/>
        <w:snapToGrid/>
        <w:spacing w:line="590" w:lineRule="exact"/>
        <w:ind w:firstLine="1600" w:firstLineChars="500"/>
        <w:jc w:val="both"/>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14:textFill>
            <w14:solidFill>
              <w14:schemeClr w14:val="tx1"/>
            </w14:solidFill>
          </w14:textFill>
        </w:rPr>
        <w:t>7</w:t>
      </w: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石台县地质灾害隐患点群测群防一览表</w:t>
      </w:r>
    </w:p>
    <w:p>
      <w:pPr>
        <w:pageBreakBefore w:val="0"/>
        <w:widowControl w:val="0"/>
        <w:kinsoku/>
        <w:wordWrap/>
        <w:overflowPunct/>
        <w:topLinePunct w:val="0"/>
        <w:autoSpaceDE/>
        <w:autoSpaceDN/>
        <w:bidi w:val="0"/>
        <w:snapToGrid/>
        <w:spacing w:line="590" w:lineRule="exact"/>
        <w:ind w:firstLine="1600" w:firstLineChars="500"/>
        <w:jc w:val="both"/>
        <w:textAlignment w:val="auto"/>
        <w:rPr>
          <w:rFonts w:hint="default" w:ascii="Times New Roman" w:hAnsi="Times New Roman" w:eastAsia="方正仿宋_GBK" w:cs="Times New Roman"/>
          <w:b w:val="0"/>
          <w:bCs w:val="0"/>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8.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石台县地质灾害分布与易发区图（1：10万）</w:t>
      </w:r>
    </w:p>
    <w:p>
      <w:pPr>
        <w:pageBreakBefore w:val="0"/>
        <w:widowControl w:val="0"/>
        <w:kinsoku/>
        <w:wordWrap/>
        <w:overflowPunct/>
        <w:topLinePunct w:val="0"/>
        <w:autoSpaceDE/>
        <w:autoSpaceDN/>
        <w:bidi w:val="0"/>
        <w:snapToGrid/>
        <w:spacing w:line="590" w:lineRule="exact"/>
        <w:ind w:firstLine="1600" w:firstLineChars="500"/>
        <w:jc w:val="both"/>
        <w:textAlignment w:val="auto"/>
        <w:rPr>
          <w:rFonts w:hint="default" w:ascii="Times New Roman" w:hAnsi="Times New Roman" w:eastAsia="方正仿宋_GBK" w:cs="Times New Roman"/>
          <w:color w:val="000000" w:themeColor="text1"/>
          <w:sz w:val="32"/>
          <w:szCs w:val="32"/>
          <w14:textFill>
            <w14:solidFill>
              <w14:schemeClr w14:val="tx1"/>
            </w14:solidFill>
          </w14:textFill>
        </w:rPr>
      </w:pPr>
      <w:r>
        <w:rPr>
          <w:rFonts w:hint="default" w:ascii="Times New Roman" w:hAnsi="Times New Roman" w:eastAsia="方正仿宋_GBK" w:cs="Times New Roman"/>
          <w:b w:val="0"/>
          <w:bCs w:val="0"/>
          <w:color w:val="000000" w:themeColor="text1"/>
          <w:sz w:val="32"/>
          <w:szCs w:val="32"/>
          <w:lang w:val="en-US" w:eastAsia="zh-CN"/>
          <w14:textFill>
            <w14:solidFill>
              <w14:schemeClr w14:val="tx1"/>
            </w14:solidFill>
          </w14:textFill>
        </w:rPr>
        <w:t xml:space="preserve">9. </w:t>
      </w:r>
      <w:r>
        <w:rPr>
          <w:rFonts w:hint="default" w:ascii="Times New Roman" w:hAnsi="Times New Roman" w:eastAsia="方正仿宋_GBK" w:cs="Times New Roman"/>
          <w:b w:val="0"/>
          <w:bCs w:val="0"/>
          <w:color w:val="000000" w:themeColor="text1"/>
          <w:sz w:val="32"/>
          <w:szCs w:val="32"/>
          <w14:textFill>
            <w14:solidFill>
              <w14:schemeClr w14:val="tx1"/>
            </w14:solidFill>
          </w14:textFill>
        </w:rPr>
        <w:t>石台县地质灾害防治规划图（1：10万）</w:t>
      </w:r>
    </w:p>
    <w:p>
      <w:pPr>
        <w:pageBreakBefore w:val="0"/>
        <w:widowControl w:val="0"/>
        <w:kinsoku/>
        <w:wordWrap/>
        <w:overflowPunct/>
        <w:topLinePunct w:val="0"/>
        <w:autoSpaceDE/>
        <w:autoSpaceDN/>
        <w:bidi w:val="0"/>
        <w:snapToGrid/>
        <w:spacing w:line="590" w:lineRule="exact"/>
        <w:textAlignment w:val="auto"/>
        <w:rPr>
          <w:rFonts w:hint="default" w:ascii="Times New Roman" w:hAnsi="Times New Roman" w:eastAsia="仿宋_GB2312" w:cs="Times New Roman"/>
          <w:color w:val="000000" w:themeColor="text1"/>
          <w:spacing w:val="2"/>
          <w:sz w:val="32"/>
          <w:szCs w:val="32"/>
          <w14:textFill>
            <w14:solidFill>
              <w14:schemeClr w14:val="tx1"/>
            </w14:solidFill>
          </w14:textFill>
        </w:rPr>
      </w:pPr>
    </w:p>
    <w:p>
      <w:pPr>
        <w:pStyle w:val="2"/>
        <w:pageBreakBefore w:val="0"/>
        <w:widowControl w:val="0"/>
        <w:kinsoku/>
        <w:wordWrap/>
        <w:overflowPunct/>
        <w:topLinePunct w:val="0"/>
        <w:autoSpaceDE/>
        <w:autoSpaceDN/>
        <w:bidi w:val="0"/>
        <w:snapToGrid/>
        <w:spacing w:line="590" w:lineRule="exact"/>
        <w:textAlignment w:val="auto"/>
        <w:rPr>
          <w:rFonts w:hint="default" w:ascii="Times New Roman" w:hAnsi="Times New Roman" w:eastAsia="仿宋_GB2312" w:cs="Times New Roman"/>
          <w:color w:val="000000" w:themeColor="text1"/>
          <w:spacing w:val="2"/>
          <w:sz w:val="32"/>
          <w:szCs w:val="32"/>
          <w14:textFill>
            <w14:solidFill>
              <w14:schemeClr w14:val="tx1"/>
            </w14:solidFill>
          </w14:textFill>
        </w:rPr>
      </w:pPr>
    </w:p>
    <w:p>
      <w:pPr>
        <w:pageBreakBefore w:val="0"/>
        <w:widowControl w:val="0"/>
        <w:kinsoku/>
        <w:wordWrap/>
        <w:overflowPunct/>
        <w:topLinePunct w:val="0"/>
        <w:autoSpaceDE/>
        <w:autoSpaceDN/>
        <w:bidi w:val="0"/>
        <w:snapToGrid/>
        <w:spacing w:line="590" w:lineRule="exact"/>
        <w:textAlignment w:val="auto"/>
        <w:rPr>
          <w:rFonts w:hint="default" w:ascii="Times New Roman" w:hAnsi="Times New Roman" w:cs="Times New Roman"/>
          <w:color w:val="000000" w:themeColor="text1"/>
          <w14:textFill>
            <w14:solidFill>
              <w14:schemeClr w14:val="tx1"/>
            </w14:solidFill>
          </w14:textFill>
        </w:rPr>
        <w:sectPr>
          <w:footerReference r:id="rId6" w:type="default"/>
          <w:pgSz w:w="11906" w:h="16838"/>
          <w:pgMar w:top="2098" w:right="1587" w:bottom="2098" w:left="1587" w:header="851" w:footer="992" w:gutter="0"/>
          <w:pgNumType w:fmt="decimal"/>
          <w:cols w:space="720" w:num="1"/>
          <w:docGrid w:type="linesAndChars" w:linePitch="314" w:charSpace="0"/>
        </w:sectPr>
      </w:pPr>
    </w:p>
    <w:p>
      <w:pPr>
        <w:pageBreakBefore w:val="0"/>
        <w:widowControl w:val="0"/>
        <w:kinsoku/>
        <w:wordWrap/>
        <w:overflowPunct/>
        <w:topLinePunct w:val="0"/>
        <w:autoSpaceDE/>
        <w:autoSpaceDN/>
        <w:bidi w:val="0"/>
        <w:snapToGrid/>
        <w:spacing w:line="590" w:lineRule="exact"/>
        <w:jc w:val="left"/>
        <w:textAlignment w:val="auto"/>
        <w:rPr>
          <w:rFonts w:hint="default" w:ascii="Times New Roman" w:hAnsi="Times New Roman" w:eastAsia="黑体" w:cs="Times New Roman"/>
          <w:b w:val="0"/>
          <w:bCs w:val="0"/>
          <w:color w:val="000000" w:themeColor="text1"/>
          <w:spacing w:val="2"/>
          <w:sz w:val="44"/>
          <w:szCs w:val="44"/>
          <w:lang w:eastAsia="zh-CN"/>
          <w14:textFill>
            <w14:solidFill>
              <w14:schemeClr w14:val="tx1"/>
            </w14:solidFill>
          </w14:textFill>
        </w:rPr>
      </w:pP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附</w:t>
      </w:r>
      <w:r>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t>件</w:t>
      </w: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1</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t>石台县地质灾害易发区简表</w:t>
      </w:r>
    </w:p>
    <w:tbl>
      <w:tblPr>
        <w:tblStyle w:val="9"/>
        <w:tblW w:w="13716" w:type="dxa"/>
        <w:tblInd w:w="0" w:type="dxa"/>
        <w:tblLayout w:type="fixed"/>
        <w:tblCellMar>
          <w:top w:w="0" w:type="dxa"/>
          <w:left w:w="108" w:type="dxa"/>
          <w:bottom w:w="0" w:type="dxa"/>
          <w:right w:w="108" w:type="dxa"/>
        </w:tblCellMar>
      </w:tblPr>
      <w:tblGrid>
        <w:gridCol w:w="926"/>
        <w:gridCol w:w="1017"/>
        <w:gridCol w:w="1722"/>
        <w:gridCol w:w="1643"/>
        <w:gridCol w:w="4730"/>
        <w:gridCol w:w="3678"/>
      </w:tblGrid>
      <w:tr>
        <w:tblPrEx>
          <w:tblLayout w:type="fixed"/>
          <w:tblCellMar>
            <w:top w:w="0" w:type="dxa"/>
            <w:left w:w="108" w:type="dxa"/>
            <w:bottom w:w="0" w:type="dxa"/>
            <w:right w:w="108" w:type="dxa"/>
          </w:tblCellMar>
        </w:tblPrEx>
        <w:trPr>
          <w:trHeight w:val="615" w:hRule="atLeast"/>
        </w:trPr>
        <w:tc>
          <w:tcPr>
            <w:tcW w:w="926" w:type="dxa"/>
            <w:tcBorders>
              <w:top w:val="single" w:color="auto" w:sz="8" w:space="0"/>
              <w:left w:val="single" w:color="auto" w:sz="8" w:space="0"/>
              <w:bottom w:val="single" w:color="auto" w:sz="4" w:space="0"/>
              <w:right w:val="single" w:color="auto" w:sz="4" w:space="0"/>
            </w:tcBorders>
            <w:noWrap w:val="0"/>
            <w:vAlign w:val="center"/>
          </w:tcPr>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分</w:t>
            </w:r>
          </w:p>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区</w:t>
            </w:r>
          </w:p>
        </w:tc>
        <w:tc>
          <w:tcPr>
            <w:tcW w:w="1017" w:type="dxa"/>
            <w:tcBorders>
              <w:top w:val="single" w:color="auto" w:sz="8"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亚区</w:t>
            </w:r>
          </w:p>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代号</w:t>
            </w:r>
          </w:p>
        </w:tc>
        <w:tc>
          <w:tcPr>
            <w:tcW w:w="1722" w:type="dxa"/>
            <w:tcBorders>
              <w:top w:val="single" w:color="auto" w:sz="8" w:space="0"/>
              <w:left w:val="nil"/>
              <w:bottom w:val="single" w:color="auto" w:sz="4" w:space="0"/>
              <w:right w:val="single" w:color="auto" w:sz="4" w:space="0"/>
            </w:tcBorders>
            <w:noWrap w:val="0"/>
            <w:vAlign w:val="center"/>
          </w:tcPr>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亚区名称</w:t>
            </w:r>
          </w:p>
        </w:tc>
        <w:tc>
          <w:tcPr>
            <w:tcW w:w="1643" w:type="dxa"/>
            <w:tcBorders>
              <w:top w:val="single" w:color="auto" w:sz="8" w:space="0"/>
              <w:left w:val="nil"/>
              <w:bottom w:val="single" w:color="auto" w:sz="4" w:space="0"/>
              <w:right w:val="single" w:color="auto" w:sz="4" w:space="0"/>
            </w:tcBorders>
            <w:noWrap w:val="0"/>
            <w:vAlign w:val="center"/>
          </w:tcPr>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分布范围</w:t>
            </w:r>
          </w:p>
        </w:tc>
        <w:tc>
          <w:tcPr>
            <w:tcW w:w="4730" w:type="dxa"/>
            <w:tcBorders>
              <w:top w:val="single" w:color="auto" w:sz="8" w:space="0"/>
              <w:left w:val="nil"/>
              <w:bottom w:val="single" w:color="auto" w:sz="4" w:space="0"/>
              <w:right w:val="single" w:color="auto" w:sz="4" w:space="0"/>
            </w:tcBorders>
            <w:noWrap w:val="0"/>
            <w:vAlign w:val="center"/>
          </w:tcPr>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地质环境背景</w:t>
            </w:r>
          </w:p>
        </w:tc>
        <w:tc>
          <w:tcPr>
            <w:tcW w:w="3678" w:type="dxa"/>
            <w:tcBorders>
              <w:top w:val="single" w:color="auto" w:sz="8" w:space="0"/>
              <w:left w:val="nil"/>
              <w:bottom w:val="single" w:color="auto" w:sz="4" w:space="0"/>
              <w:right w:val="single" w:color="auto" w:sz="8" w:space="0"/>
            </w:tcBorders>
            <w:noWrap w:val="0"/>
            <w:vAlign w:val="center"/>
          </w:tcPr>
          <w:p>
            <w:pPr>
              <w:widowControl/>
              <w:jc w:val="center"/>
              <w:rPr>
                <w:rFonts w:hint="default" w:ascii="Times New Roman" w:hAnsi="Times New Roman" w:cs="Times New Roman"/>
                <w:b/>
                <w:color w:val="000000" w:themeColor="text1"/>
                <w:kern w:val="0"/>
                <w:szCs w:val="21"/>
                <w14:textFill>
                  <w14:solidFill>
                    <w14:schemeClr w14:val="tx1"/>
                  </w14:solidFill>
                </w14:textFill>
              </w:rPr>
            </w:pPr>
            <w:r>
              <w:rPr>
                <w:rFonts w:hint="default" w:ascii="Times New Roman" w:hAnsi="Times New Roman" w:cs="Times New Roman"/>
                <w:b/>
                <w:color w:val="000000" w:themeColor="text1"/>
                <w:kern w:val="0"/>
                <w:szCs w:val="21"/>
                <w14:textFill>
                  <w14:solidFill>
                    <w14:schemeClr w14:val="tx1"/>
                  </w14:solidFill>
                </w14:textFill>
              </w:rPr>
              <w:t>地质灾害特征</w:t>
            </w:r>
          </w:p>
        </w:tc>
      </w:tr>
      <w:tr>
        <w:tblPrEx>
          <w:tblLayout w:type="fixed"/>
          <w:tblCellMar>
            <w:top w:w="0" w:type="dxa"/>
            <w:left w:w="108" w:type="dxa"/>
            <w:bottom w:w="0" w:type="dxa"/>
            <w:right w:w="108" w:type="dxa"/>
          </w:tblCellMar>
        </w:tblPrEx>
        <w:trPr>
          <w:trHeight w:val="1488" w:hRule="exact"/>
        </w:trPr>
        <w:tc>
          <w:tcPr>
            <w:tcW w:w="926" w:type="dxa"/>
            <w:vMerge w:val="restart"/>
            <w:tcBorders>
              <w:top w:val="nil"/>
              <w:left w:val="single" w:color="auto" w:sz="8" w:space="0"/>
              <w:right w:val="single" w:color="auto" w:sz="4" w:space="0"/>
            </w:tcBorders>
            <w:noWrap w:val="0"/>
            <w:vAlign w:val="center"/>
          </w:tcPr>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高</w:t>
            </w:r>
          </w:p>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易</w:t>
            </w:r>
          </w:p>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发</w:t>
            </w:r>
          </w:p>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区</w:t>
            </w:r>
          </w:p>
        </w:tc>
        <w:tc>
          <w:tcPr>
            <w:tcW w:w="1017" w:type="dxa"/>
            <w:tcBorders>
              <w:top w:val="nil"/>
              <w:left w:val="single" w:color="auto" w:sz="4" w:space="0"/>
              <w:bottom w:val="single" w:color="auto" w:sz="4" w:space="0"/>
              <w:right w:val="single" w:color="auto" w:sz="4" w:space="0"/>
            </w:tcBorders>
            <w:noWrap/>
            <w:vAlign w:val="center"/>
          </w:tcPr>
          <w:p>
            <w:pPr>
              <w:widowControl/>
              <w:spacing w:line="320" w:lineRule="exact"/>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Ⅰ</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1</w:t>
            </w:r>
          </w:p>
        </w:tc>
        <w:tc>
          <w:tcPr>
            <w:tcW w:w="1722"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横渡镇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七都镇滑坡、崩塌、泥石流地质灾害高易发区</w:t>
            </w:r>
          </w:p>
        </w:tc>
        <w:tc>
          <w:tcPr>
            <w:tcW w:w="1643"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横渡镇、七都镇G530</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原S325</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沿线及以南地区</w:t>
            </w:r>
          </w:p>
        </w:tc>
        <w:tc>
          <w:tcPr>
            <w:tcW w:w="4730"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sz w:val="24"/>
                <w:szCs w:val="24"/>
                <w14:textFill>
                  <w14:solidFill>
                    <w14:schemeClr w14:val="tx1"/>
                  </w14:solidFill>
                </w14:textFill>
              </w:rPr>
              <w:t>面积165.65平方公里。</w:t>
            </w:r>
            <w:r>
              <w:rPr>
                <w:rFonts w:hint="default" w:ascii="Times New Roman" w:hAnsi="Times New Roman" w:eastAsia="仿宋_GB2312" w:cs="Times New Roman"/>
                <w:color w:val="000000" w:themeColor="text1"/>
                <w:kern w:val="0"/>
                <w:sz w:val="24"/>
                <w:szCs w:val="24"/>
                <w14:textFill>
                  <w14:solidFill>
                    <w14:schemeClr w14:val="tx1"/>
                  </w14:solidFill>
                </w14:textFill>
              </w:rPr>
              <w:t>地貌为低山、丘陵，地面标高100</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500m，地形起伏较大，暴雨集中、强度大，工程地质岩组主要为层状较坚硬</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坚硬钙质页岩岩组和薄</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中层状软弱</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 xml:space="preserve">较坚硬粉砂质页岩岩组。 </w:t>
            </w:r>
          </w:p>
        </w:tc>
        <w:tc>
          <w:tcPr>
            <w:tcW w:w="3678" w:type="dxa"/>
            <w:tcBorders>
              <w:top w:val="nil"/>
              <w:left w:val="nil"/>
              <w:bottom w:val="single" w:color="auto" w:sz="4" w:space="0"/>
              <w:right w:val="single" w:color="auto" w:sz="8"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区内人类活动强烈，坡面岩体风化强烈，易发生滑坡、崩塌等地质灾害。滑坡主要沿公路分布。共有地质灾害及隐患5处</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其中滑坡3处，崩塌2处。</w:t>
            </w:r>
          </w:p>
        </w:tc>
      </w:tr>
      <w:tr>
        <w:tblPrEx>
          <w:tblLayout w:type="fixed"/>
          <w:tblCellMar>
            <w:top w:w="0" w:type="dxa"/>
            <w:left w:w="108" w:type="dxa"/>
            <w:bottom w:w="0" w:type="dxa"/>
            <w:right w:w="108" w:type="dxa"/>
          </w:tblCellMar>
        </w:tblPrEx>
        <w:trPr>
          <w:trHeight w:val="1628" w:hRule="exact"/>
        </w:trPr>
        <w:tc>
          <w:tcPr>
            <w:tcW w:w="926" w:type="dxa"/>
            <w:vMerge w:val="continue"/>
            <w:tcBorders>
              <w:left w:val="single" w:color="auto" w:sz="8" w:space="0"/>
              <w:right w:val="single" w:color="auto" w:sz="4" w:space="0"/>
            </w:tcBorders>
            <w:noWrap w:val="0"/>
            <w:vAlign w:val="top"/>
          </w:tcPr>
          <w:p>
            <w:pPr>
              <w:widowControl/>
              <w:spacing w:line="320" w:lineRule="exact"/>
              <w:jc w:val="center"/>
              <w:rPr>
                <w:rFonts w:hint="default" w:ascii="Times New Roman" w:hAnsi="Times New Roman" w:eastAsia="仿宋_GB2312" w:cs="Times New Roman"/>
                <w:i/>
                <w:color w:val="000000" w:themeColor="text1"/>
                <w:kern w:val="0"/>
                <w:sz w:val="24"/>
                <w:szCs w:val="24"/>
                <w14:textFill>
                  <w14:solidFill>
                    <w14:schemeClr w14:val="tx1"/>
                  </w14:solidFill>
                </w14:textFill>
              </w:rPr>
            </w:pPr>
          </w:p>
        </w:tc>
        <w:tc>
          <w:tcPr>
            <w:tcW w:w="1017" w:type="dxa"/>
            <w:tcBorders>
              <w:top w:val="nil"/>
              <w:left w:val="single" w:color="auto" w:sz="4" w:space="0"/>
              <w:bottom w:val="single" w:color="auto" w:sz="4" w:space="0"/>
              <w:right w:val="single" w:color="auto" w:sz="4" w:space="0"/>
            </w:tcBorders>
            <w:noWrap/>
            <w:vAlign w:val="center"/>
          </w:tcPr>
          <w:p>
            <w:pPr>
              <w:widowControl/>
              <w:spacing w:line="320" w:lineRule="exact"/>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Ⅰ</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2</w:t>
            </w:r>
          </w:p>
        </w:tc>
        <w:tc>
          <w:tcPr>
            <w:tcW w:w="1722"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仙寓镇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大演乡滑坡、崩塌、岩溶塌陷、泥石流地质灾害高易发区</w:t>
            </w:r>
          </w:p>
        </w:tc>
        <w:tc>
          <w:tcPr>
            <w:tcW w:w="1643"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仙寓镇、大演乡南部</w:t>
            </w:r>
          </w:p>
        </w:tc>
        <w:tc>
          <w:tcPr>
            <w:tcW w:w="4730"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sz w:val="22"/>
                <w:szCs w:val="22"/>
                <w14:textFill>
                  <w14:solidFill>
                    <w14:schemeClr w14:val="tx1"/>
                  </w14:solidFill>
                </w14:textFill>
              </w:rPr>
              <w:t>面积145.18平方公里。</w:t>
            </w:r>
            <w:r>
              <w:rPr>
                <w:rFonts w:hint="default" w:ascii="Times New Roman" w:hAnsi="Times New Roman" w:eastAsia="仿宋_GB2312" w:cs="Times New Roman"/>
                <w:color w:val="000000" w:themeColor="text1"/>
                <w:kern w:val="0"/>
                <w:sz w:val="22"/>
                <w:szCs w:val="22"/>
                <w14:textFill>
                  <w14:solidFill>
                    <w14:schemeClr w14:val="tx1"/>
                  </w14:solidFill>
                </w14:textFill>
              </w:rPr>
              <w:t>地貌为中、低山，地面标高500</w:t>
            </w:r>
            <w:r>
              <w:rPr>
                <w:rFonts w:hint="default" w:ascii="Times New Roman" w:hAnsi="Times New Roman" w:cs="Times New Roman"/>
                <w:color w:val="000000" w:themeColor="text1"/>
                <w:kern w:val="0"/>
                <w:sz w:val="22"/>
                <w:szCs w:val="22"/>
                <w:lang w:eastAsia="zh-CN"/>
                <w14:textFill>
                  <w14:solidFill>
                    <w14:schemeClr w14:val="tx1"/>
                  </w14:solidFill>
                </w14:textFill>
              </w:rPr>
              <w:t>—</w:t>
            </w:r>
            <w:r>
              <w:rPr>
                <w:rFonts w:hint="default" w:ascii="Times New Roman" w:hAnsi="Times New Roman" w:eastAsia="仿宋_GB2312" w:cs="Times New Roman"/>
                <w:color w:val="000000" w:themeColor="text1"/>
                <w:kern w:val="0"/>
                <w:sz w:val="22"/>
                <w:szCs w:val="22"/>
                <w14:textFill>
                  <w14:solidFill>
                    <w14:schemeClr w14:val="tx1"/>
                  </w14:solidFill>
                </w14:textFill>
              </w:rPr>
              <w:t>1700m，垂直高差大，暴雨集中、强度大。出露岩组主要为碎裂状较软花岗岩强风化岩组和中厚层状较坚硬</w:t>
            </w:r>
            <w:r>
              <w:rPr>
                <w:rFonts w:hint="default" w:ascii="Times New Roman" w:hAnsi="Times New Roman" w:cs="Times New Roman"/>
                <w:color w:val="000000" w:themeColor="text1"/>
                <w:kern w:val="0"/>
                <w:sz w:val="22"/>
                <w:szCs w:val="22"/>
                <w:lang w:eastAsia="zh-CN"/>
                <w14:textFill>
                  <w14:solidFill>
                    <w14:schemeClr w14:val="tx1"/>
                  </w14:solidFill>
                </w14:textFill>
              </w:rPr>
              <w:t>－</w:t>
            </w:r>
            <w:r>
              <w:rPr>
                <w:rFonts w:hint="default" w:ascii="Times New Roman" w:hAnsi="Times New Roman" w:eastAsia="仿宋_GB2312" w:cs="Times New Roman"/>
                <w:color w:val="000000" w:themeColor="text1"/>
                <w:kern w:val="0"/>
                <w:sz w:val="22"/>
                <w:szCs w:val="22"/>
                <w14:textFill>
                  <w14:solidFill>
                    <w14:schemeClr w14:val="tx1"/>
                  </w14:solidFill>
                </w14:textFill>
              </w:rPr>
              <w:t>坚硬硅质岩</w:t>
            </w:r>
            <w:r>
              <w:rPr>
                <w:rFonts w:hint="default" w:ascii="Times New Roman" w:hAnsi="Times New Roman" w:eastAsia="仿宋_GB2312" w:cs="Times New Roman"/>
                <w:color w:val="000000" w:themeColor="text1"/>
                <w:kern w:val="0"/>
                <w:sz w:val="24"/>
                <w:szCs w:val="24"/>
                <w14:textFill>
                  <w14:solidFill>
                    <w14:schemeClr w14:val="tx1"/>
                  </w14:solidFill>
                </w14:textFill>
              </w:rPr>
              <w:t xml:space="preserve">岩组。 </w:t>
            </w:r>
          </w:p>
        </w:tc>
        <w:tc>
          <w:tcPr>
            <w:tcW w:w="3678" w:type="dxa"/>
            <w:tcBorders>
              <w:top w:val="nil"/>
              <w:left w:val="nil"/>
              <w:bottom w:val="single" w:color="auto" w:sz="4" w:space="0"/>
              <w:right w:val="single" w:color="auto" w:sz="8"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区内人口密度较小，易发崩塌、滑坡等地质灾害。共有地质灾害及隐患6处，其中滑坡5处，岩溶塌陷1处。</w:t>
            </w:r>
          </w:p>
        </w:tc>
      </w:tr>
      <w:tr>
        <w:tblPrEx>
          <w:tblLayout w:type="fixed"/>
          <w:tblCellMar>
            <w:top w:w="0" w:type="dxa"/>
            <w:left w:w="108" w:type="dxa"/>
            <w:bottom w:w="0" w:type="dxa"/>
            <w:right w:w="108" w:type="dxa"/>
          </w:tblCellMar>
        </w:tblPrEx>
        <w:trPr>
          <w:trHeight w:val="1476" w:hRule="exact"/>
        </w:trPr>
        <w:tc>
          <w:tcPr>
            <w:tcW w:w="926" w:type="dxa"/>
            <w:vMerge w:val="continue"/>
            <w:tcBorders>
              <w:left w:val="single" w:color="auto" w:sz="8" w:space="0"/>
              <w:bottom w:val="single" w:color="auto" w:sz="4" w:space="0"/>
              <w:right w:val="single" w:color="auto" w:sz="4" w:space="0"/>
            </w:tcBorders>
            <w:noWrap w:val="0"/>
            <w:vAlign w:val="top"/>
          </w:tcPr>
          <w:p>
            <w:pPr>
              <w:widowControl/>
              <w:spacing w:line="320" w:lineRule="exact"/>
              <w:jc w:val="center"/>
              <w:rPr>
                <w:rFonts w:hint="default" w:ascii="Times New Roman" w:hAnsi="Times New Roman" w:eastAsia="仿宋_GB2312" w:cs="Times New Roman"/>
                <w:i/>
                <w:color w:val="000000" w:themeColor="text1"/>
                <w:kern w:val="0"/>
                <w:sz w:val="24"/>
                <w:szCs w:val="24"/>
                <w14:textFill>
                  <w14:solidFill>
                    <w14:schemeClr w14:val="tx1"/>
                  </w14:solidFill>
                </w14:textFill>
              </w:rPr>
            </w:pPr>
          </w:p>
        </w:tc>
        <w:tc>
          <w:tcPr>
            <w:tcW w:w="1017" w:type="dxa"/>
            <w:tcBorders>
              <w:top w:val="nil"/>
              <w:left w:val="single" w:color="auto" w:sz="4" w:space="0"/>
              <w:bottom w:val="single" w:color="auto" w:sz="4" w:space="0"/>
              <w:right w:val="single" w:color="auto" w:sz="4" w:space="0"/>
            </w:tcBorders>
            <w:noWrap/>
            <w:vAlign w:val="center"/>
          </w:tcPr>
          <w:p>
            <w:pPr>
              <w:widowControl/>
              <w:spacing w:line="320" w:lineRule="exact"/>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Ⅰ</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3</w:t>
            </w:r>
          </w:p>
        </w:tc>
        <w:tc>
          <w:tcPr>
            <w:tcW w:w="1722"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丁香镇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大演乡滑坡、崩塌、泥石流地质灾害高易发区</w:t>
            </w:r>
          </w:p>
        </w:tc>
        <w:tc>
          <w:tcPr>
            <w:tcW w:w="1643"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丁香镇、仁里镇南部，仙寓镇、大演乡北部，横渡镇西部</w:t>
            </w:r>
          </w:p>
        </w:tc>
        <w:tc>
          <w:tcPr>
            <w:tcW w:w="4730" w:type="dxa"/>
            <w:tcBorders>
              <w:top w:val="nil"/>
              <w:left w:val="nil"/>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sz w:val="24"/>
                <w:szCs w:val="24"/>
                <w14:textFill>
                  <w14:solidFill>
                    <w14:schemeClr w14:val="tx1"/>
                  </w14:solidFill>
                </w14:textFill>
              </w:rPr>
              <w:t>面积120.16平方公里。</w:t>
            </w:r>
            <w:r>
              <w:rPr>
                <w:rFonts w:hint="default" w:ascii="Times New Roman" w:hAnsi="Times New Roman" w:eastAsia="仿宋_GB2312" w:cs="Times New Roman"/>
                <w:color w:val="000000" w:themeColor="text1"/>
                <w:kern w:val="0"/>
                <w:sz w:val="24"/>
                <w:szCs w:val="24"/>
                <w14:textFill>
                  <w14:solidFill>
                    <w14:schemeClr w14:val="tx1"/>
                  </w14:solidFill>
                </w14:textFill>
              </w:rPr>
              <w:t>地貌为中、低山，地形起伏较大，暴雨集中、强度大，工程地质岩组主要为碎裂状较软花岗岩强风化岩组和中厚层状较坚硬</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坚硬硅质岩岩组。</w:t>
            </w:r>
          </w:p>
        </w:tc>
        <w:tc>
          <w:tcPr>
            <w:tcW w:w="3678" w:type="dxa"/>
            <w:tcBorders>
              <w:top w:val="nil"/>
              <w:left w:val="nil"/>
              <w:bottom w:val="single" w:color="auto" w:sz="4" w:space="0"/>
              <w:right w:val="single" w:color="auto" w:sz="8"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区内人类工程活动较强烈，易发生崩塌、滑坡等地质灾害；人口密度较小。共有地质灾害点5处，均为滑坡。</w:t>
            </w:r>
          </w:p>
        </w:tc>
      </w:tr>
      <w:tr>
        <w:tblPrEx>
          <w:tblLayout w:type="fixed"/>
          <w:tblCellMar>
            <w:top w:w="0" w:type="dxa"/>
            <w:left w:w="108" w:type="dxa"/>
            <w:bottom w:w="0" w:type="dxa"/>
            <w:right w:w="108" w:type="dxa"/>
          </w:tblCellMar>
        </w:tblPrEx>
        <w:trPr>
          <w:trHeight w:val="1544" w:hRule="exact"/>
        </w:trPr>
        <w:tc>
          <w:tcPr>
            <w:tcW w:w="926"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中</w:t>
            </w:r>
          </w:p>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易</w:t>
            </w:r>
          </w:p>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发</w:t>
            </w:r>
          </w:p>
          <w:p>
            <w:pPr>
              <w:widowControl/>
              <w:spacing w:line="32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区</w:t>
            </w:r>
          </w:p>
        </w:tc>
        <w:tc>
          <w:tcPr>
            <w:tcW w:w="1017" w:type="dxa"/>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Ⅱ</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1</w:t>
            </w:r>
          </w:p>
        </w:tc>
        <w:tc>
          <w:tcPr>
            <w:tcW w:w="1722"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矶滩乡、仙寓镇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七都镇滑坡、崩塌、泥石流地质灾害中易发区</w:t>
            </w:r>
          </w:p>
        </w:tc>
        <w:tc>
          <w:tcPr>
            <w:tcW w:w="1643"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仁里镇、七都镇、横渡镇、大演乡、仙寓镇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丁香镇、矶滩乡</w:t>
            </w:r>
          </w:p>
        </w:tc>
        <w:tc>
          <w:tcPr>
            <w:tcW w:w="4730"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sz w:val="24"/>
                <w:szCs w:val="24"/>
                <w14:textFill>
                  <w14:solidFill>
                    <w14:schemeClr w14:val="tx1"/>
                  </w14:solidFill>
                </w14:textFill>
              </w:rPr>
              <w:t>面积776.81平方公里。</w:t>
            </w:r>
            <w:r>
              <w:rPr>
                <w:rFonts w:hint="default" w:ascii="Times New Roman" w:hAnsi="Times New Roman" w:eastAsia="仿宋_GB2312" w:cs="Times New Roman"/>
                <w:color w:val="000000" w:themeColor="text1"/>
                <w:kern w:val="0"/>
                <w:sz w:val="24"/>
                <w:szCs w:val="24"/>
                <w14:textFill>
                  <w14:solidFill>
                    <w14:schemeClr w14:val="tx1"/>
                  </w14:solidFill>
                </w14:textFill>
              </w:rPr>
              <w:t>地貌为中、低山，地面标高100</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1100m，垂直高差大，暴雨频繁、强度大，破碎风化泥质砂岩、页岩分布广泛，森林植被保护较好。</w:t>
            </w:r>
          </w:p>
        </w:tc>
        <w:tc>
          <w:tcPr>
            <w:tcW w:w="3678"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自然条件下，以崩塌、滑坡为主、泥石流少见；共有地质灾害12处。其中滑坡7处，崩塌4处，泥石流1处。</w:t>
            </w:r>
          </w:p>
        </w:tc>
      </w:tr>
      <w:tr>
        <w:tblPrEx>
          <w:tblLayout w:type="fixed"/>
          <w:tblCellMar>
            <w:top w:w="0" w:type="dxa"/>
            <w:left w:w="108" w:type="dxa"/>
            <w:bottom w:w="0" w:type="dxa"/>
            <w:right w:w="108" w:type="dxa"/>
          </w:tblCellMar>
        </w:tblPrEx>
        <w:trPr>
          <w:trHeight w:val="1317" w:hRule="exact"/>
        </w:trPr>
        <w:tc>
          <w:tcPr>
            <w:tcW w:w="926" w:type="dxa"/>
            <w:vMerge w:val="continue"/>
            <w:tcBorders>
              <w:top w:val="single" w:color="auto" w:sz="4" w:space="0"/>
              <w:left w:val="single" w:color="auto" w:sz="4" w:space="0"/>
              <w:bottom w:val="single" w:color="auto" w:sz="4" w:space="0"/>
              <w:right w:val="single" w:color="auto" w:sz="4" w:space="0"/>
            </w:tcBorders>
            <w:noWrap w:val="0"/>
            <w:vAlign w:val="top"/>
          </w:tcPr>
          <w:p>
            <w:pPr>
              <w:widowControl/>
              <w:spacing w:line="320" w:lineRule="exact"/>
              <w:jc w:val="center"/>
              <w:rPr>
                <w:rFonts w:hint="default" w:ascii="Times New Roman" w:hAnsi="Times New Roman" w:eastAsia="仿宋_GB2312" w:cs="Times New Roman"/>
                <w:i/>
                <w:color w:val="000000" w:themeColor="text1"/>
                <w:kern w:val="0"/>
                <w:sz w:val="24"/>
                <w:szCs w:val="24"/>
                <w14:textFill>
                  <w14:solidFill>
                    <w14:schemeClr w14:val="tx1"/>
                  </w14:solidFill>
                </w14:textFill>
              </w:rPr>
            </w:pPr>
          </w:p>
        </w:tc>
        <w:tc>
          <w:tcPr>
            <w:tcW w:w="1017" w:type="dxa"/>
            <w:tcBorders>
              <w:top w:val="single" w:color="auto" w:sz="4" w:space="0"/>
              <w:left w:val="single" w:color="auto" w:sz="4" w:space="0"/>
              <w:bottom w:val="single" w:color="auto" w:sz="4" w:space="0"/>
              <w:right w:val="single" w:color="auto" w:sz="4" w:space="0"/>
            </w:tcBorders>
            <w:noWrap/>
            <w:vAlign w:val="center"/>
          </w:tcPr>
          <w:p>
            <w:pPr>
              <w:widowControl/>
              <w:spacing w:line="320" w:lineRule="exact"/>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Ⅱ</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2</w:t>
            </w:r>
          </w:p>
        </w:tc>
        <w:tc>
          <w:tcPr>
            <w:tcW w:w="1722"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丁香镇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小河镇滑坡、崩塌、泥石流地质灾害中易发区</w:t>
            </w:r>
          </w:p>
        </w:tc>
        <w:tc>
          <w:tcPr>
            <w:tcW w:w="1643"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丁香镇西部、小河镇南部</w:t>
            </w:r>
          </w:p>
        </w:tc>
        <w:tc>
          <w:tcPr>
            <w:tcW w:w="4730"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sz w:val="24"/>
                <w:szCs w:val="24"/>
                <w14:textFill>
                  <w14:solidFill>
                    <w14:schemeClr w14:val="tx1"/>
                  </w14:solidFill>
                </w14:textFill>
              </w:rPr>
              <w:t>面积55.81平方公里。</w:t>
            </w:r>
            <w:r>
              <w:rPr>
                <w:rFonts w:hint="default" w:ascii="Times New Roman" w:hAnsi="Times New Roman" w:eastAsia="仿宋_GB2312" w:cs="Times New Roman"/>
                <w:color w:val="000000" w:themeColor="text1"/>
                <w:kern w:val="0"/>
                <w:sz w:val="24"/>
                <w:szCs w:val="24"/>
                <w14:textFill>
                  <w14:solidFill>
                    <w14:schemeClr w14:val="tx1"/>
                  </w14:solidFill>
                </w14:textFill>
              </w:rPr>
              <w:t>地貌为低山，地面标高300</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700m，暴雨频繁、强度大。破碎风化较强的泥质砂岩、粉砂岩、页岩分布广泛，森林植被保护较好。</w:t>
            </w:r>
          </w:p>
        </w:tc>
        <w:tc>
          <w:tcPr>
            <w:tcW w:w="3678"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本区崩塌、滑坡等地质灾害少见。只有地质灾害隐患点1处，为崩塌。</w:t>
            </w:r>
          </w:p>
        </w:tc>
      </w:tr>
      <w:tr>
        <w:tblPrEx>
          <w:tblLayout w:type="fixed"/>
          <w:tblCellMar>
            <w:top w:w="0" w:type="dxa"/>
            <w:left w:w="108" w:type="dxa"/>
            <w:bottom w:w="0" w:type="dxa"/>
            <w:right w:w="108" w:type="dxa"/>
          </w:tblCellMar>
        </w:tblPrEx>
        <w:trPr>
          <w:trHeight w:val="1265" w:hRule="exact"/>
        </w:trPr>
        <w:tc>
          <w:tcPr>
            <w:tcW w:w="926"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低</w:t>
            </w:r>
          </w:p>
          <w:p>
            <w:pPr>
              <w:widowControl/>
              <w:spacing w:line="24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易</w:t>
            </w:r>
          </w:p>
          <w:p>
            <w:pPr>
              <w:widowControl/>
              <w:spacing w:line="24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发</w:t>
            </w:r>
          </w:p>
          <w:p>
            <w:pPr>
              <w:widowControl/>
              <w:spacing w:line="240" w:lineRule="exact"/>
              <w:ind w:firstLine="480" w:firstLineChars="200"/>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区</w:t>
            </w:r>
          </w:p>
        </w:tc>
        <w:tc>
          <w:tcPr>
            <w:tcW w:w="1017"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Ⅲ</w:t>
            </w:r>
          </w:p>
        </w:tc>
        <w:tc>
          <w:tcPr>
            <w:tcW w:w="1722"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丁香镇</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矶滩乡滑坡、崩塌地质灾害低易发区</w:t>
            </w:r>
          </w:p>
        </w:tc>
        <w:tc>
          <w:tcPr>
            <w:tcW w:w="1643"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丁香镇中部，小河镇北部，仁里镇、矶滩乡局部</w:t>
            </w:r>
          </w:p>
        </w:tc>
        <w:tc>
          <w:tcPr>
            <w:tcW w:w="4730"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sz w:val="24"/>
                <w:szCs w:val="24"/>
                <w14:textFill>
                  <w14:solidFill>
                    <w14:schemeClr w14:val="tx1"/>
                  </w14:solidFill>
                </w14:textFill>
              </w:rPr>
              <w:t>面积150.22平方公里。</w:t>
            </w:r>
            <w:r>
              <w:rPr>
                <w:rFonts w:hint="default" w:ascii="Times New Roman" w:hAnsi="Times New Roman" w:eastAsia="仿宋_GB2312" w:cs="Times New Roman"/>
                <w:color w:val="000000" w:themeColor="text1"/>
                <w:kern w:val="0"/>
                <w:sz w:val="24"/>
                <w:szCs w:val="24"/>
                <w14:textFill>
                  <w14:solidFill>
                    <w14:schemeClr w14:val="tx1"/>
                  </w14:solidFill>
                </w14:textFill>
              </w:rPr>
              <w:t>地貌为低山、丘陵，地面标高50</w:t>
            </w:r>
            <w:r>
              <w:rPr>
                <w:rFonts w:hint="default" w:ascii="Times New Roman" w:hAnsi="Times New Roman" w:cs="Times New Roman"/>
                <w:color w:val="000000" w:themeColor="text1"/>
                <w:kern w:val="0"/>
                <w:sz w:val="24"/>
                <w:szCs w:val="24"/>
                <w:lang w:eastAsia="zh-CN"/>
                <w14:textFill>
                  <w14:solidFill>
                    <w14:schemeClr w14:val="tx1"/>
                  </w14:solidFill>
                </w14:textFill>
              </w:rPr>
              <w:t>—</w:t>
            </w:r>
            <w:r>
              <w:rPr>
                <w:rFonts w:hint="default" w:ascii="Times New Roman" w:hAnsi="Times New Roman" w:eastAsia="仿宋_GB2312" w:cs="Times New Roman"/>
                <w:color w:val="000000" w:themeColor="text1"/>
                <w:kern w:val="0"/>
                <w:sz w:val="24"/>
                <w:szCs w:val="24"/>
                <w14:textFill>
                  <w14:solidFill>
                    <w14:schemeClr w14:val="tx1"/>
                  </w14:solidFill>
                </w14:textFill>
              </w:rPr>
              <w:t>500m，地质环境条件较好。</w:t>
            </w:r>
          </w:p>
        </w:tc>
        <w:tc>
          <w:tcPr>
            <w:tcW w:w="3678" w:type="dxa"/>
            <w:tcBorders>
              <w:top w:val="single" w:color="auto" w:sz="4" w:space="0"/>
              <w:left w:val="single" w:color="auto" w:sz="4" w:space="0"/>
              <w:bottom w:val="single" w:color="auto" w:sz="4" w:space="0"/>
              <w:right w:val="single" w:color="auto" w:sz="4" w:space="0"/>
            </w:tcBorders>
            <w:noWrap w:val="0"/>
            <w:vAlign w:val="center"/>
          </w:tcPr>
          <w:p>
            <w:pPr>
              <w:widowControl/>
              <w:spacing w:line="280" w:lineRule="exact"/>
              <w:jc w:val="left"/>
              <w:rPr>
                <w:rFonts w:hint="default" w:ascii="Times New Roman" w:hAnsi="Times New Roman" w:eastAsia="仿宋_GB2312" w:cs="Times New Roman"/>
                <w:color w:val="000000" w:themeColor="text1"/>
                <w:kern w:val="0"/>
                <w:sz w:val="24"/>
                <w:szCs w:val="24"/>
                <w14:textFill>
                  <w14:solidFill>
                    <w14:schemeClr w14:val="tx1"/>
                  </w14:solidFill>
                </w14:textFill>
              </w:rPr>
            </w:pPr>
            <w:r>
              <w:rPr>
                <w:rFonts w:hint="default" w:ascii="Times New Roman" w:hAnsi="Times New Roman" w:eastAsia="仿宋_GB2312" w:cs="Times New Roman"/>
                <w:color w:val="000000" w:themeColor="text1"/>
                <w:kern w:val="0"/>
                <w:sz w:val="24"/>
                <w:szCs w:val="24"/>
                <w14:textFill>
                  <w14:solidFill>
                    <w14:schemeClr w14:val="tx1"/>
                  </w14:solidFill>
                </w14:textFill>
              </w:rPr>
              <w:t>人类工程活动微弱，地质灾害不发育，现状条件下无典型地质灾害点。</w:t>
            </w:r>
          </w:p>
        </w:tc>
      </w:tr>
    </w:tbl>
    <w:p>
      <w:pPr>
        <w:spacing w:line="560" w:lineRule="exact"/>
        <w:jc w:val="both"/>
        <w:rPr>
          <w:rFonts w:hint="default" w:ascii="Times New Roman" w:hAnsi="Times New Roman" w:eastAsia="黑体" w:cs="Times New Roman"/>
          <w:b w:val="0"/>
          <w:bCs w:val="0"/>
          <w:color w:val="000000" w:themeColor="text1"/>
          <w:spacing w:val="2"/>
          <w:sz w:val="32"/>
          <w:szCs w:val="32"/>
          <w14:textFill>
            <w14:solidFill>
              <w14:schemeClr w14:val="tx1"/>
            </w14:solidFill>
          </w14:textFill>
        </w:rPr>
      </w:pPr>
    </w:p>
    <w:p>
      <w:pPr>
        <w:keepNext/>
        <w:keepLines/>
        <w:pageBreakBefore w:val="0"/>
        <w:widowControl/>
        <w:kinsoku/>
        <w:wordWrap/>
        <w:overflowPunct/>
        <w:topLinePunct w:val="0"/>
        <w:autoSpaceDE/>
        <w:autoSpaceDN/>
        <w:bidi w:val="0"/>
        <w:adjustRightInd/>
        <w:snapToGrid w:val="0"/>
        <w:spacing w:line="590" w:lineRule="exact"/>
        <w:jc w:val="center"/>
        <w:textAlignment w:val="auto"/>
        <w:rPr>
          <w:rFonts w:hint="default" w:ascii="Times New Roman" w:hAnsi="Times New Roman" w:eastAsia="黑体" w:cs="Times New Roman"/>
          <w:b w:val="0"/>
          <w:bCs w:val="0"/>
          <w:color w:val="000000" w:themeColor="text1"/>
          <w:spacing w:val="2"/>
          <w:sz w:val="36"/>
          <w:szCs w:val="36"/>
          <w:lang w:eastAsia="zh-CN"/>
          <w14:textFill>
            <w14:solidFill>
              <w14:schemeClr w14:val="tx1"/>
            </w14:solidFill>
          </w14:textFill>
        </w:rPr>
      </w:pPr>
    </w:p>
    <w:p>
      <w:pPr>
        <w:spacing w:line="560" w:lineRule="exact"/>
        <w:jc w:val="both"/>
        <w:rPr>
          <w:rFonts w:hint="eastAsia"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eastAsia"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eastAsia"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eastAsia"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eastAsia"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default" w:ascii="Times New Roman" w:hAnsi="Times New Roman" w:eastAsia="黑体" w:cs="Times New Roman"/>
          <w:b w:val="0"/>
          <w:bCs w:val="0"/>
          <w:color w:val="000000" w:themeColor="text1"/>
          <w:spacing w:val="2"/>
          <w:sz w:val="32"/>
          <w:szCs w:val="32"/>
          <w:lang w:val="en-US" w:eastAsia="zh-CN"/>
          <w14:textFill>
            <w14:solidFill>
              <w14:schemeClr w14:val="tx1"/>
            </w14:solidFill>
          </w14:textFill>
        </w:rPr>
      </w:pPr>
      <w:r>
        <w:rPr>
          <w:rFonts w:hint="eastAsia" w:ascii="Times New Roman" w:hAnsi="Times New Roman" w:eastAsia="黑体" w:cs="Times New Roman"/>
          <w:b w:val="0"/>
          <w:bCs w:val="0"/>
          <w:color w:val="000000" w:themeColor="text1"/>
          <w:spacing w:val="2"/>
          <w:sz w:val="32"/>
          <w:szCs w:val="32"/>
          <w:lang w:eastAsia="zh-CN"/>
          <w14:textFill>
            <w14:solidFill>
              <w14:schemeClr w14:val="tx1"/>
            </w14:solidFill>
          </w14:textFill>
        </w:rPr>
        <w:t>附件</w:t>
      </w:r>
      <w:r>
        <w:rPr>
          <w:rFonts w:hint="eastAsia" w:ascii="Times New Roman" w:hAnsi="Times New Roman" w:eastAsia="黑体" w:cs="Times New Roman"/>
          <w:b w:val="0"/>
          <w:bCs w:val="0"/>
          <w:color w:val="000000" w:themeColor="text1"/>
          <w:spacing w:val="2"/>
          <w:sz w:val="32"/>
          <w:szCs w:val="32"/>
          <w:lang w:val="en-US" w:eastAsia="zh-CN"/>
          <w14:textFill>
            <w14:solidFill>
              <w14:schemeClr w14:val="tx1"/>
            </w14:solidFill>
          </w14:textFill>
        </w:rPr>
        <w:t>2</w:t>
      </w:r>
    </w:p>
    <w:p>
      <w:pPr>
        <w:keepNext/>
        <w:keepLines/>
        <w:pageBreakBefore w:val="0"/>
        <w:widowControl/>
        <w:kinsoku/>
        <w:wordWrap/>
        <w:overflowPunct/>
        <w:topLinePunct w:val="0"/>
        <w:autoSpaceDE/>
        <w:autoSpaceDN/>
        <w:bidi w:val="0"/>
        <w:adjustRightInd/>
        <w:snapToGrid w:val="0"/>
        <w:spacing w:line="590" w:lineRule="exact"/>
        <w:jc w:val="center"/>
        <w:textAlignment w:val="auto"/>
        <w:rPr>
          <w:rFonts w:hint="eastAsia" w:ascii="方正小标宋_GBK" w:hAnsi="方正小标宋_GBK" w:eastAsia="方正小标宋_GBK" w:cs="方正小标宋_GBK"/>
          <w:b w:val="0"/>
          <w:bCs w:val="0"/>
          <w:color w:val="000000" w:themeColor="text1"/>
          <w:spacing w:val="2"/>
          <w:sz w:val="40"/>
          <w:szCs w:val="40"/>
          <w:lang w:eastAsia="zh-CN"/>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lang w:eastAsia="zh-CN"/>
          <w14:textFill>
            <w14:solidFill>
              <w14:schemeClr w14:val="tx1"/>
            </w14:solidFill>
          </w14:textFill>
        </w:rPr>
        <w:t>石台县地质灾害防治分区简表</w:t>
      </w:r>
    </w:p>
    <w:tbl>
      <w:tblPr>
        <w:tblStyle w:val="9"/>
        <w:tblpPr w:leftFromText="180" w:rightFromText="180" w:vertAnchor="page" w:horzAnchor="page" w:tblpX="1683" w:tblpY="4231"/>
        <w:tblW w:w="14182" w:type="dxa"/>
        <w:jc w:val="center"/>
        <w:tblInd w:w="0" w:type="dxa"/>
        <w:tblLayout w:type="fixed"/>
        <w:tblCellMar>
          <w:top w:w="0" w:type="dxa"/>
          <w:left w:w="108" w:type="dxa"/>
          <w:bottom w:w="0" w:type="dxa"/>
          <w:right w:w="108" w:type="dxa"/>
        </w:tblCellMar>
      </w:tblPr>
      <w:tblGrid>
        <w:gridCol w:w="709"/>
        <w:gridCol w:w="1008"/>
        <w:gridCol w:w="1440"/>
        <w:gridCol w:w="1804"/>
        <w:gridCol w:w="4219"/>
        <w:gridCol w:w="1560"/>
        <w:gridCol w:w="3442"/>
      </w:tblGrid>
      <w:tr>
        <w:tblPrEx>
          <w:tblLayout w:type="fixed"/>
          <w:tblCellMar>
            <w:top w:w="0" w:type="dxa"/>
            <w:left w:w="108" w:type="dxa"/>
            <w:bottom w:w="0" w:type="dxa"/>
            <w:right w:w="108" w:type="dxa"/>
          </w:tblCellMar>
        </w:tblPrEx>
        <w:trPr>
          <w:trHeight w:val="635" w:hRule="exact"/>
          <w:jc w:val="center"/>
        </w:trPr>
        <w:tc>
          <w:tcPr>
            <w:tcW w:w="709" w:type="dxa"/>
            <w:tcBorders>
              <w:top w:val="single" w:color="auto" w:sz="8" w:space="0"/>
              <w:left w:val="single" w:color="auto" w:sz="4" w:space="0"/>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分区</w:t>
            </w:r>
          </w:p>
        </w:tc>
        <w:tc>
          <w:tcPr>
            <w:tcW w:w="1008" w:type="dxa"/>
            <w:tcBorders>
              <w:top w:val="single" w:color="auto" w:sz="8" w:space="0"/>
              <w:left w:val="nil"/>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亚区</w:t>
            </w:r>
          </w:p>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代号</w:t>
            </w:r>
          </w:p>
        </w:tc>
        <w:tc>
          <w:tcPr>
            <w:tcW w:w="1440" w:type="dxa"/>
            <w:tcBorders>
              <w:top w:val="single" w:color="auto" w:sz="8" w:space="0"/>
              <w:left w:val="nil"/>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亚区名称</w:t>
            </w:r>
          </w:p>
        </w:tc>
        <w:tc>
          <w:tcPr>
            <w:tcW w:w="1804" w:type="dxa"/>
            <w:tcBorders>
              <w:top w:val="single" w:color="auto" w:sz="8" w:space="0"/>
              <w:left w:val="nil"/>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分布范围</w:t>
            </w:r>
          </w:p>
        </w:tc>
        <w:tc>
          <w:tcPr>
            <w:tcW w:w="4219" w:type="dxa"/>
            <w:tcBorders>
              <w:top w:val="single" w:color="auto" w:sz="8" w:space="0"/>
              <w:left w:val="nil"/>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地质灾害特征</w:t>
            </w:r>
          </w:p>
        </w:tc>
        <w:tc>
          <w:tcPr>
            <w:tcW w:w="1560" w:type="dxa"/>
            <w:tcBorders>
              <w:top w:val="single" w:color="auto" w:sz="8" w:space="0"/>
              <w:left w:val="nil"/>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重点防护对象</w:t>
            </w:r>
          </w:p>
        </w:tc>
        <w:tc>
          <w:tcPr>
            <w:tcW w:w="3442" w:type="dxa"/>
            <w:tcBorders>
              <w:top w:val="single" w:color="auto" w:sz="8" w:space="0"/>
              <w:left w:val="nil"/>
              <w:bottom w:val="single" w:color="auto" w:sz="4" w:space="0"/>
              <w:right w:val="single" w:color="auto" w:sz="4" w:space="0"/>
            </w:tcBorders>
            <w:noWrap w:val="0"/>
            <w:vAlign w:val="center"/>
          </w:tcPr>
          <w:p>
            <w:pPr>
              <w:keepNext/>
              <w:keepLines/>
              <w:pageBreakBefore w:val="0"/>
              <w:widowControl/>
              <w:kinsoku/>
              <w:wordWrap/>
              <w:overflowPunct/>
              <w:topLinePunct w:val="0"/>
              <w:autoSpaceDE/>
              <w:autoSpaceDN/>
              <w:bidi w:val="0"/>
              <w:adjustRightInd/>
              <w:snapToGrid w:val="0"/>
              <w:spacing w:line="240" w:lineRule="exact"/>
              <w:jc w:val="center"/>
              <w:textAlignment w:val="auto"/>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防治措施</w:t>
            </w:r>
          </w:p>
        </w:tc>
      </w:tr>
      <w:tr>
        <w:tblPrEx>
          <w:tblLayout w:type="fixed"/>
          <w:tblCellMar>
            <w:top w:w="0" w:type="dxa"/>
            <w:left w:w="108" w:type="dxa"/>
            <w:bottom w:w="0" w:type="dxa"/>
            <w:right w:w="108" w:type="dxa"/>
          </w:tblCellMar>
        </w:tblPrEx>
        <w:trPr>
          <w:trHeight w:val="1411" w:hRule="exact"/>
          <w:jc w:val="center"/>
        </w:trPr>
        <w:tc>
          <w:tcPr>
            <w:tcW w:w="709" w:type="dxa"/>
            <w:vMerge w:val="restart"/>
            <w:tcBorders>
              <w:top w:val="nil"/>
              <w:left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重</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点</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防</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治</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区</w:t>
            </w:r>
          </w:p>
        </w:tc>
        <w:tc>
          <w:tcPr>
            <w:tcW w:w="10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A1</w:t>
            </w:r>
          </w:p>
        </w:tc>
        <w:tc>
          <w:tcPr>
            <w:tcW w:w="1440"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矶滩乡</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七都镇滑坡、崩塌、泥石流地质灾害重点防治区</w:t>
            </w:r>
          </w:p>
        </w:tc>
        <w:tc>
          <w:tcPr>
            <w:tcW w:w="1804"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矶滩乡G237国道（原S221）沿线，仁里镇、七都镇县道沿附近，横渡镇中、南部，七都镇南部、西部</w:t>
            </w:r>
          </w:p>
        </w:tc>
        <w:tc>
          <w:tcPr>
            <w:tcW w:w="4219"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面积262.94平方公里。</w:t>
            </w:r>
            <w:r>
              <w:rPr>
                <w:rFonts w:hint="default" w:ascii="Times New Roman" w:hAnsi="Times New Roman" w:eastAsia="仿宋_GB2312" w:cs="Times New Roman"/>
                <w:color w:val="000000" w:themeColor="text1"/>
                <w:kern w:val="0"/>
                <w:sz w:val="21"/>
                <w:szCs w:val="21"/>
                <w14:textFill>
                  <w14:solidFill>
                    <w14:schemeClr w14:val="tx1"/>
                  </w14:solidFill>
                </w14:textFill>
              </w:rPr>
              <w:t>滑坡、崩塌为本区主要地质灾害。区内人口密度大，交通繁忙，人类工程活动剧烈。区内共有地质灾害隐患点3处，其中滑坡2处，崩塌1处，均为小型。威胁人员2人，财产6万元。</w:t>
            </w:r>
          </w:p>
        </w:tc>
        <w:tc>
          <w:tcPr>
            <w:tcW w:w="1560"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G237国道、池祁高速、石七县道，县城及四个景区等。</w:t>
            </w:r>
          </w:p>
        </w:tc>
        <w:tc>
          <w:tcPr>
            <w:tcW w:w="3442"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完善群测群防体系；对威胁到村组安全的仁里镇崩塌隐患点实施工程治理；对威胁道路安全的地质灾害隐患点进行勘查治理；在地质灾害威胁的路段设置明显的警示标识。</w:t>
            </w:r>
          </w:p>
        </w:tc>
      </w:tr>
      <w:tr>
        <w:tblPrEx>
          <w:tblLayout w:type="fixed"/>
          <w:tblCellMar>
            <w:top w:w="0" w:type="dxa"/>
            <w:left w:w="108" w:type="dxa"/>
            <w:bottom w:w="0" w:type="dxa"/>
            <w:right w:w="108" w:type="dxa"/>
          </w:tblCellMar>
        </w:tblPrEx>
        <w:trPr>
          <w:trHeight w:val="1701" w:hRule="exact"/>
          <w:jc w:val="center"/>
        </w:trPr>
        <w:tc>
          <w:tcPr>
            <w:tcW w:w="709" w:type="dxa"/>
            <w:vMerge w:val="continue"/>
            <w:tcBorders>
              <w:left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p>
        </w:tc>
        <w:tc>
          <w:tcPr>
            <w:tcW w:w="10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A2</w:t>
            </w:r>
          </w:p>
        </w:tc>
        <w:tc>
          <w:tcPr>
            <w:tcW w:w="1440"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仙寓镇</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大演乡滑坡、崩塌、岩溶塌陷地质灾害重点防治区</w:t>
            </w:r>
          </w:p>
        </w:tc>
        <w:tc>
          <w:tcPr>
            <w:tcW w:w="1804"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仙寓镇、大演乡南部及县道沿线</w:t>
            </w:r>
          </w:p>
        </w:tc>
        <w:tc>
          <w:tcPr>
            <w:tcW w:w="4219"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面积121.97平方公里。</w:t>
            </w:r>
            <w:r>
              <w:rPr>
                <w:rFonts w:hint="default" w:ascii="Times New Roman" w:hAnsi="Times New Roman" w:eastAsia="仿宋_GB2312" w:cs="Times New Roman"/>
                <w:color w:val="000000" w:themeColor="text1"/>
                <w:kern w:val="0"/>
                <w:sz w:val="21"/>
                <w:szCs w:val="21"/>
                <w14:textFill>
                  <w14:solidFill>
                    <w14:schemeClr w14:val="tx1"/>
                  </w14:solidFill>
                </w14:textFill>
              </w:rPr>
              <w:t>滑坡、崩塌和岩溶塌陷为本区主要地质灾害。区内人口密度较大，旅游资源丰富。区内共有地质灾害隐患点6处，其中滑坡5处，岩溶塌陷1处。威胁人员58人，财产280万元，且威胁到景区游人安全。</w:t>
            </w:r>
          </w:p>
        </w:tc>
        <w:tc>
          <w:tcPr>
            <w:tcW w:w="1560"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牯牛降、仙寓山风景名胜区及连接景区道路，石仙县道，莲花村上屋组等村庄。</w:t>
            </w:r>
          </w:p>
        </w:tc>
        <w:tc>
          <w:tcPr>
            <w:tcW w:w="3442"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对仙寓镇莲花村上屋组滑坡点实施搬迁避让工作；对大演乡新联村三四组滑坡实施排危除险工作，对景区内地灾隐患点加强监测，对威胁道路安全的地质灾害隐患点进行勘查治理，在地质灾害威胁的路段和景区设置明显的警示标识。</w:t>
            </w:r>
          </w:p>
        </w:tc>
      </w:tr>
      <w:tr>
        <w:tblPrEx>
          <w:tblLayout w:type="fixed"/>
          <w:tblCellMar>
            <w:top w:w="0" w:type="dxa"/>
            <w:left w:w="108" w:type="dxa"/>
            <w:bottom w:w="0" w:type="dxa"/>
            <w:right w:w="108" w:type="dxa"/>
          </w:tblCellMar>
        </w:tblPrEx>
        <w:trPr>
          <w:trHeight w:val="1194" w:hRule="exact"/>
          <w:jc w:val="center"/>
        </w:trPr>
        <w:tc>
          <w:tcPr>
            <w:tcW w:w="709" w:type="dxa"/>
            <w:vMerge w:val="continue"/>
            <w:tcBorders>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p>
        </w:tc>
        <w:tc>
          <w:tcPr>
            <w:tcW w:w="10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A3</w:t>
            </w:r>
          </w:p>
        </w:tc>
        <w:tc>
          <w:tcPr>
            <w:tcW w:w="1440"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丁香镇</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仙寓镇</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大演乡滑坡、崩塌地质灾害重点防治区</w:t>
            </w:r>
          </w:p>
        </w:tc>
        <w:tc>
          <w:tcPr>
            <w:tcW w:w="1804"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丁香镇、仙寓镇、大演乡南部及县道沿线</w:t>
            </w:r>
          </w:p>
        </w:tc>
        <w:tc>
          <w:tcPr>
            <w:tcW w:w="4219"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面积</w:t>
            </w:r>
            <w:r>
              <w:rPr>
                <w:rFonts w:hint="default" w:ascii="Times New Roman" w:hAnsi="Times New Roman" w:eastAsia="仿宋_GB2312" w:cs="Times New Roman"/>
                <w:color w:val="000000" w:themeColor="text1"/>
                <w:kern w:val="0"/>
                <w:sz w:val="21"/>
                <w:szCs w:val="21"/>
                <w14:textFill>
                  <w14:solidFill>
                    <w14:schemeClr w14:val="tx1"/>
                  </w14:solidFill>
                </w14:textFill>
              </w:rPr>
              <w:t>100.89</w:t>
            </w:r>
            <w:r>
              <w:rPr>
                <w:rFonts w:hint="default" w:ascii="Times New Roman" w:hAnsi="Times New Roman" w:eastAsia="仿宋_GB2312" w:cs="Times New Roman"/>
                <w:color w:val="000000" w:themeColor="text1"/>
                <w:sz w:val="21"/>
                <w:szCs w:val="21"/>
                <w14:textFill>
                  <w14:solidFill>
                    <w14:schemeClr w14:val="tx1"/>
                  </w14:solidFill>
                </w14:textFill>
              </w:rPr>
              <w:t>平方公里。</w:t>
            </w:r>
            <w:r>
              <w:rPr>
                <w:rFonts w:hint="default" w:ascii="Times New Roman" w:hAnsi="Times New Roman" w:eastAsia="仿宋_GB2312" w:cs="Times New Roman"/>
                <w:color w:val="000000" w:themeColor="text1"/>
                <w:kern w:val="0"/>
                <w:sz w:val="21"/>
                <w:szCs w:val="21"/>
                <w14:textFill>
                  <w14:solidFill>
                    <w14:schemeClr w14:val="tx1"/>
                  </w14:solidFill>
                </w14:textFill>
              </w:rPr>
              <w:t>滑坡、崩塌为本区主要地质灾害。区内人口密度较大，人类工程活动强烈。区内共有地质灾害隐患点5处，均为滑坡。威胁人员22人，财产91万元。</w:t>
            </w:r>
          </w:p>
        </w:tc>
        <w:tc>
          <w:tcPr>
            <w:tcW w:w="1560"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山区道路及受地灾威胁的村组等。</w:t>
            </w:r>
          </w:p>
        </w:tc>
        <w:tc>
          <w:tcPr>
            <w:tcW w:w="3442" w:type="dxa"/>
            <w:tcBorders>
              <w:top w:val="nil"/>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对丁香镇红桃村马石组和大演乡剡溪村秧田滑坡点实施工程治理工作；在地质灾害威胁的路段设置明显的警示标识。</w:t>
            </w:r>
          </w:p>
        </w:tc>
      </w:tr>
      <w:tr>
        <w:tblPrEx>
          <w:tblLayout w:type="fixed"/>
          <w:tblCellMar>
            <w:top w:w="0" w:type="dxa"/>
            <w:left w:w="108" w:type="dxa"/>
            <w:bottom w:w="0" w:type="dxa"/>
            <w:right w:w="108" w:type="dxa"/>
          </w:tblCellMar>
        </w:tblPrEx>
        <w:trPr>
          <w:trHeight w:val="1701" w:hRule="exact"/>
          <w:jc w:val="center"/>
        </w:trPr>
        <w:tc>
          <w:tcPr>
            <w:tcW w:w="709" w:type="dxa"/>
            <w:vMerge w:val="restart"/>
            <w:tcBorders>
              <w:top w:val="single" w:color="auto" w:sz="4" w:space="0"/>
              <w:left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次</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重</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点</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防</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治</w:t>
            </w:r>
          </w:p>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区</w:t>
            </w:r>
          </w:p>
        </w:tc>
        <w:tc>
          <w:tcPr>
            <w:tcW w:w="1008"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B1</w:t>
            </w:r>
          </w:p>
        </w:tc>
        <w:tc>
          <w:tcPr>
            <w:tcW w:w="1440"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矶滩乡</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仁里镇</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七都镇滑坡、崩塌、泥石流地质灾害次重点防治区</w:t>
            </w:r>
          </w:p>
        </w:tc>
        <w:tc>
          <w:tcPr>
            <w:tcW w:w="1804"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矶滩乡西部、仙寓镇中部、大演乡中北部、丁香镇东部、仁里镇南部、横渡镇全部、七都镇大部。</w:t>
            </w:r>
          </w:p>
        </w:tc>
        <w:tc>
          <w:tcPr>
            <w:tcW w:w="4219"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面积740.72平方公里。</w:t>
            </w:r>
            <w:r>
              <w:rPr>
                <w:rFonts w:hint="default" w:ascii="Times New Roman" w:hAnsi="Times New Roman" w:eastAsia="仿宋_GB2312" w:cs="Times New Roman"/>
                <w:color w:val="000000" w:themeColor="text1"/>
                <w:kern w:val="0"/>
                <w:sz w:val="21"/>
                <w:szCs w:val="21"/>
                <w14:textFill>
                  <w14:solidFill>
                    <w14:schemeClr w14:val="tx1"/>
                  </w14:solidFill>
                </w14:textFill>
              </w:rPr>
              <w:t>滑坡、崩塌为本区主要地质灾害。区内人口密度较大、人类工程活动较剧烈。共有地质灾害隐患点15处，其中滑坡8处，崩塌6处，泥石流1处。威胁人员134人，财产630万元。</w:t>
            </w:r>
          </w:p>
        </w:tc>
        <w:tc>
          <w:tcPr>
            <w:tcW w:w="1560"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G237国道、池祁高速、横渡镇河西村、历南坝村等受地质灾害威胁的村庄。</w:t>
            </w:r>
          </w:p>
        </w:tc>
        <w:tc>
          <w:tcPr>
            <w:tcW w:w="3442"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对横渡镇河西村狮马岭滑坡、鸿陵村车田组滑坡实施排危除险，对仙寓镇莲花村中屋组崩塌、大演乡新塘村二组泥石流、七都镇新棚村杨梅坞组滑坡、横渡镇历坝村上林山组滑坡实施工程治理，并对其他各地质灾害隐患点加强监测。</w:t>
            </w:r>
          </w:p>
        </w:tc>
      </w:tr>
      <w:tr>
        <w:tblPrEx>
          <w:tblLayout w:type="fixed"/>
          <w:tblCellMar>
            <w:top w:w="0" w:type="dxa"/>
            <w:left w:w="108" w:type="dxa"/>
            <w:bottom w:w="0" w:type="dxa"/>
            <w:right w:w="108" w:type="dxa"/>
          </w:tblCellMar>
        </w:tblPrEx>
        <w:trPr>
          <w:trHeight w:val="1021" w:hRule="exact"/>
          <w:jc w:val="center"/>
        </w:trPr>
        <w:tc>
          <w:tcPr>
            <w:tcW w:w="709" w:type="dxa"/>
            <w:vMerge w:val="continue"/>
            <w:tcBorders>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p>
        </w:tc>
        <w:tc>
          <w:tcPr>
            <w:tcW w:w="1008"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B2</w:t>
            </w:r>
          </w:p>
        </w:tc>
        <w:tc>
          <w:tcPr>
            <w:tcW w:w="1440"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小河镇滑坡、崩塌、泥石流地质灾害次重点防治区</w:t>
            </w:r>
          </w:p>
        </w:tc>
        <w:tc>
          <w:tcPr>
            <w:tcW w:w="1804"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小河镇西南部</w:t>
            </w:r>
          </w:p>
        </w:tc>
        <w:tc>
          <w:tcPr>
            <w:tcW w:w="4219"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面积34.25平方公里。</w:t>
            </w:r>
            <w:r>
              <w:rPr>
                <w:rFonts w:hint="default" w:ascii="Times New Roman" w:hAnsi="Times New Roman" w:eastAsia="仿宋_GB2312" w:cs="Times New Roman"/>
                <w:color w:val="000000" w:themeColor="text1"/>
                <w:kern w:val="0"/>
                <w:sz w:val="21"/>
                <w:szCs w:val="21"/>
                <w14:textFill>
                  <w14:solidFill>
                    <w14:schemeClr w14:val="tx1"/>
                  </w14:solidFill>
                </w14:textFill>
              </w:rPr>
              <w:t>滑坡、崩塌为本区主要地质灾害。区内人口密度较大，人类工程活动较强烈。共有滑坡地质灾害隐患点1处。威胁人口2人，财产5万元。</w:t>
            </w:r>
          </w:p>
        </w:tc>
        <w:tc>
          <w:tcPr>
            <w:tcW w:w="1560"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G530国道及受地质灾害威胁的村庄。</w:t>
            </w:r>
          </w:p>
        </w:tc>
        <w:tc>
          <w:tcPr>
            <w:tcW w:w="3442"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加强监测，在公路上设置明显的警示标志。</w:t>
            </w:r>
          </w:p>
        </w:tc>
      </w:tr>
      <w:tr>
        <w:tblPrEx>
          <w:tblLayout w:type="fixed"/>
          <w:tblCellMar>
            <w:top w:w="0" w:type="dxa"/>
            <w:left w:w="108" w:type="dxa"/>
            <w:bottom w:w="0" w:type="dxa"/>
            <w:right w:w="108" w:type="dxa"/>
          </w:tblCellMar>
        </w:tblPrEx>
        <w:trPr>
          <w:trHeight w:val="1236" w:hRule="exac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一般防治区</w:t>
            </w:r>
          </w:p>
        </w:tc>
        <w:tc>
          <w:tcPr>
            <w:tcW w:w="1008"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C</w:t>
            </w:r>
          </w:p>
        </w:tc>
        <w:tc>
          <w:tcPr>
            <w:tcW w:w="1440"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丁香镇</w:t>
            </w:r>
            <w:r>
              <w:rPr>
                <w:rFonts w:hint="default" w:ascii="Times New Roman" w:hAnsi="Times New Roman" w:cs="Times New Roman"/>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color w:val="000000" w:themeColor="text1"/>
                <w:kern w:val="0"/>
                <w:sz w:val="21"/>
                <w:szCs w:val="21"/>
                <w14:textFill>
                  <w14:solidFill>
                    <w14:schemeClr w14:val="tx1"/>
                  </w14:solidFill>
                </w14:textFill>
              </w:rPr>
              <w:t>小河镇滑坡、崩塌、泥石流地质灾害一般防治区</w:t>
            </w:r>
          </w:p>
        </w:tc>
        <w:tc>
          <w:tcPr>
            <w:tcW w:w="1804"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小河镇大部、丁香镇北部、仁里镇、矶滩乡局部</w:t>
            </w:r>
          </w:p>
        </w:tc>
        <w:tc>
          <w:tcPr>
            <w:tcW w:w="4219"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面积153.06平方公里。</w:t>
            </w:r>
            <w:r>
              <w:rPr>
                <w:rFonts w:hint="default" w:ascii="Times New Roman" w:hAnsi="Times New Roman" w:eastAsia="仿宋_GB2312" w:cs="Times New Roman"/>
                <w:color w:val="000000" w:themeColor="text1"/>
                <w:kern w:val="0"/>
                <w:sz w:val="21"/>
                <w:szCs w:val="21"/>
                <w14:textFill>
                  <w14:solidFill>
                    <w14:schemeClr w14:val="tx1"/>
                  </w14:solidFill>
                </w14:textFill>
              </w:rPr>
              <w:t>本区主要地质灾害为滑坡。由于人类工程活动相对比较微弱，地质环境条件较好，地质灾害不发育。</w:t>
            </w:r>
          </w:p>
        </w:tc>
        <w:tc>
          <w:tcPr>
            <w:tcW w:w="1560"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受威胁的村庄等。</w:t>
            </w:r>
          </w:p>
        </w:tc>
        <w:tc>
          <w:tcPr>
            <w:tcW w:w="3442" w:type="dxa"/>
            <w:tcBorders>
              <w:top w:val="single" w:color="auto" w:sz="4" w:space="0"/>
              <w:left w:val="nil"/>
              <w:bottom w:val="single" w:color="auto" w:sz="4" w:space="0"/>
              <w:right w:val="single" w:color="auto" w:sz="4" w:space="0"/>
            </w:tcBorders>
            <w:noWrap w:val="0"/>
            <w:vAlign w:val="center"/>
          </w:tcPr>
          <w:p>
            <w:pPr>
              <w:widowControl/>
              <w:spacing w:line="240" w:lineRule="exact"/>
              <w:jc w:val="left"/>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加强工程建设地质灾害防治审批管理。</w:t>
            </w:r>
          </w:p>
        </w:tc>
      </w:tr>
    </w:tbl>
    <w:p>
      <w:pPr>
        <w:rPr>
          <w:rFonts w:hint="default"/>
          <w:color w:val="000000" w:themeColor="text1"/>
          <w14:textFill>
            <w14:solidFill>
              <w14:schemeClr w14:val="tx1"/>
            </w14:solidFill>
          </w14:textFill>
        </w:rPr>
        <w:sectPr>
          <w:footerReference r:id="rId7" w:type="default"/>
          <w:pgSz w:w="16838" w:h="11906" w:orient="landscape"/>
          <w:pgMar w:top="1701" w:right="1588" w:bottom="1701" w:left="1701" w:header="851" w:footer="992" w:gutter="0"/>
          <w:pgNumType w:fmt="decimal"/>
          <w:cols w:space="720" w:num="1"/>
          <w:docGrid w:type="linesAndChars" w:linePitch="314" w:charSpace="0"/>
        </w:sectPr>
      </w:pPr>
    </w:p>
    <w:p>
      <w:pPr>
        <w:keepNext/>
        <w:keepLines/>
        <w:pageBreakBefore w:val="0"/>
        <w:widowControl w:val="0"/>
        <w:kinsoku/>
        <w:wordWrap/>
        <w:overflowPunct/>
        <w:topLinePunct w:val="0"/>
        <w:autoSpaceDE/>
        <w:autoSpaceDN/>
        <w:bidi w:val="0"/>
        <w:snapToGrid/>
        <w:spacing w:line="590" w:lineRule="exact"/>
        <w:jc w:val="left"/>
        <w:textAlignment w:val="auto"/>
        <w:rPr>
          <w:rFonts w:hint="default" w:ascii="Times New Roman" w:hAnsi="Times New Roman" w:eastAsia="仿宋_GB2312" w:cs="Times New Roman"/>
          <w:b/>
          <w:bCs/>
          <w:color w:val="000000" w:themeColor="text1"/>
          <w:spacing w:val="2"/>
          <w:sz w:val="32"/>
          <w:szCs w:val="32"/>
          <w14:textFill>
            <w14:solidFill>
              <w14:schemeClr w14:val="tx1"/>
            </w14:solidFill>
          </w14:textFill>
        </w:rPr>
      </w:pP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附</w:t>
      </w:r>
      <w:r>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t>件</w:t>
      </w: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3</w:t>
      </w:r>
    </w:p>
    <w:p>
      <w:pPr>
        <w:spacing w:line="560" w:lineRule="exact"/>
        <w:ind w:firstLine="808" w:firstLineChars="200"/>
        <w:jc w:val="center"/>
        <w:rPr>
          <w:rFonts w:hint="eastAsia" w:ascii="方正小标宋_GBK" w:hAnsi="方正小标宋_GBK" w:eastAsia="方正小标宋_GBK" w:cs="方正小标宋_GBK"/>
          <w:color w:val="000000" w:themeColor="text1"/>
          <w:spacing w:val="2"/>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t>石台县“十四五”重点乡镇1：1万地质灾害详细调查</w:t>
      </w:r>
    </w:p>
    <w:tbl>
      <w:tblPr>
        <w:tblStyle w:val="9"/>
        <w:tblW w:w="13549" w:type="dxa"/>
        <w:tblInd w:w="118" w:type="dxa"/>
        <w:tblLayout w:type="fixed"/>
        <w:tblCellMar>
          <w:top w:w="0" w:type="dxa"/>
          <w:left w:w="108" w:type="dxa"/>
          <w:bottom w:w="0" w:type="dxa"/>
          <w:right w:w="108" w:type="dxa"/>
        </w:tblCellMar>
      </w:tblPr>
      <w:tblGrid>
        <w:gridCol w:w="1222"/>
        <w:gridCol w:w="5064"/>
        <w:gridCol w:w="2294"/>
        <w:gridCol w:w="2294"/>
        <w:gridCol w:w="2675"/>
      </w:tblGrid>
      <w:tr>
        <w:tblPrEx>
          <w:tblLayout w:type="fixed"/>
          <w:tblCellMar>
            <w:top w:w="0" w:type="dxa"/>
            <w:left w:w="108" w:type="dxa"/>
            <w:bottom w:w="0" w:type="dxa"/>
            <w:right w:w="108" w:type="dxa"/>
          </w:tblCellMar>
        </w:tblPrEx>
        <w:trPr>
          <w:trHeight w:val="397" w:hRule="exact"/>
        </w:trPr>
        <w:tc>
          <w:tcPr>
            <w:tcW w:w="1222" w:type="dxa"/>
            <w:tcBorders>
              <w:top w:val="single" w:color="auto" w:sz="8" w:space="0"/>
              <w:left w:val="single" w:color="auto" w:sz="8" w:space="0"/>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序号</w:t>
            </w:r>
          </w:p>
        </w:tc>
        <w:tc>
          <w:tcPr>
            <w:tcW w:w="5064" w:type="dxa"/>
            <w:tcBorders>
              <w:top w:val="single" w:color="auto" w:sz="8" w:space="0"/>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重点村镇</w:t>
            </w:r>
          </w:p>
        </w:tc>
        <w:tc>
          <w:tcPr>
            <w:tcW w:w="2294" w:type="dxa"/>
            <w:tcBorders>
              <w:top w:val="single" w:color="auto" w:sz="8" w:space="0"/>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时间安排</w:t>
            </w:r>
          </w:p>
        </w:tc>
        <w:tc>
          <w:tcPr>
            <w:tcW w:w="2294" w:type="dxa"/>
            <w:tcBorders>
              <w:top w:val="single" w:color="auto" w:sz="8" w:space="0"/>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灾种</w:t>
            </w:r>
          </w:p>
        </w:tc>
        <w:tc>
          <w:tcPr>
            <w:tcW w:w="2675" w:type="dxa"/>
            <w:tcBorders>
              <w:top w:val="single" w:color="auto" w:sz="8" w:space="0"/>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费用估算（万元）</w:t>
            </w:r>
          </w:p>
        </w:tc>
      </w:tr>
      <w:tr>
        <w:tblPrEx>
          <w:tblLayout w:type="fixed"/>
          <w:tblCellMar>
            <w:top w:w="0" w:type="dxa"/>
            <w:left w:w="108" w:type="dxa"/>
            <w:bottom w:w="0" w:type="dxa"/>
            <w:right w:w="108" w:type="dxa"/>
          </w:tblCellMar>
        </w:tblPrEx>
        <w:trPr>
          <w:trHeight w:val="397" w:hRule="exact"/>
        </w:trPr>
        <w:tc>
          <w:tcPr>
            <w:tcW w:w="1222" w:type="dxa"/>
            <w:tcBorders>
              <w:top w:val="nil"/>
              <w:left w:val="single" w:color="auto" w:sz="8" w:space="0"/>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1</w:t>
            </w:r>
          </w:p>
        </w:tc>
        <w:tc>
          <w:tcPr>
            <w:tcW w:w="5064" w:type="dxa"/>
            <w:tcBorders>
              <w:top w:val="nil"/>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石台县仙寓镇</w:t>
            </w:r>
          </w:p>
        </w:tc>
        <w:tc>
          <w:tcPr>
            <w:tcW w:w="2294" w:type="dxa"/>
            <w:tcBorders>
              <w:top w:val="nil"/>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2025</w:t>
            </w:r>
          </w:p>
        </w:tc>
        <w:tc>
          <w:tcPr>
            <w:tcW w:w="2294" w:type="dxa"/>
            <w:tcBorders>
              <w:top w:val="nil"/>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崩塌</w:t>
            </w:r>
          </w:p>
        </w:tc>
        <w:tc>
          <w:tcPr>
            <w:tcW w:w="2675" w:type="dxa"/>
            <w:tcBorders>
              <w:top w:val="nil"/>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100</w:t>
            </w:r>
          </w:p>
        </w:tc>
      </w:tr>
      <w:tr>
        <w:tblPrEx>
          <w:tblLayout w:type="fixed"/>
          <w:tblCellMar>
            <w:top w:w="0" w:type="dxa"/>
            <w:left w:w="108" w:type="dxa"/>
            <w:bottom w:w="0" w:type="dxa"/>
            <w:right w:w="108" w:type="dxa"/>
          </w:tblCellMar>
        </w:tblPrEx>
        <w:trPr>
          <w:trHeight w:val="397" w:hRule="exact"/>
        </w:trPr>
        <w:tc>
          <w:tcPr>
            <w:tcW w:w="10874" w:type="dxa"/>
            <w:gridSpan w:val="4"/>
            <w:tcBorders>
              <w:top w:val="single" w:color="auto" w:sz="8" w:space="0"/>
              <w:left w:val="single" w:color="auto" w:sz="8" w:space="0"/>
              <w:bottom w:val="single" w:color="auto" w:sz="8" w:space="0"/>
              <w:right w:val="single" w:color="000000" w:sz="8" w:space="0"/>
            </w:tcBorders>
            <w:noWrap w:val="0"/>
            <w:vAlign w:val="center"/>
          </w:tcPr>
          <w:p>
            <w:pPr>
              <w:widowControl/>
              <w:spacing w:line="30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合</w:t>
            </w:r>
            <w:r>
              <w:rPr>
                <w:rFonts w:hint="default" w:ascii="Times New Roman" w:hAnsi="Times New Roman" w:eastAsia="仿宋_GB2312" w:cs="Times New Roman"/>
                <w:color w:val="000000" w:themeColor="text1"/>
                <w:kern w:val="0"/>
                <w:sz w:val="21"/>
                <w:szCs w:val="21"/>
                <w14:textFill>
                  <w14:solidFill>
                    <w14:schemeClr w14:val="tx1"/>
                  </w14:solidFill>
                </w14:textFill>
              </w:rPr>
              <w:t xml:space="preserve">  计</w:t>
            </w:r>
          </w:p>
        </w:tc>
        <w:tc>
          <w:tcPr>
            <w:tcW w:w="2675" w:type="dxa"/>
            <w:tcBorders>
              <w:top w:val="nil"/>
              <w:left w:val="nil"/>
              <w:bottom w:val="single" w:color="auto" w:sz="8" w:space="0"/>
              <w:right w:val="single" w:color="auto" w:sz="8" w:space="0"/>
            </w:tcBorders>
            <w:noWrap w:val="0"/>
            <w:vAlign w:val="center"/>
          </w:tcPr>
          <w:p>
            <w:pPr>
              <w:widowControl/>
              <w:spacing w:line="30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100</w:t>
            </w:r>
          </w:p>
        </w:tc>
      </w:tr>
    </w:tbl>
    <w:p>
      <w:pPr>
        <w:spacing w:line="560" w:lineRule="exact"/>
        <w:jc w:val="both"/>
        <w:rPr>
          <w:rFonts w:hint="default" w:ascii="Times New Roman" w:hAnsi="Times New Roman" w:eastAsia="仿宋_GB2312" w:cs="Times New Roman"/>
          <w:b/>
          <w:bCs/>
          <w:color w:val="000000" w:themeColor="text1"/>
          <w:spacing w:val="2"/>
          <w:sz w:val="32"/>
          <w:szCs w:val="32"/>
          <w14:textFill>
            <w14:solidFill>
              <w14:schemeClr w14:val="tx1"/>
            </w14:solidFill>
          </w14:textFill>
        </w:rPr>
      </w:pPr>
    </w:p>
    <w:p>
      <w:pPr>
        <w:spacing w:line="560" w:lineRule="exact"/>
        <w:rPr>
          <w:rFonts w:hint="default" w:ascii="Times New Roman" w:hAnsi="Times New Roman" w:eastAsia="黑体" w:cs="Times New Roman"/>
          <w:b w:val="0"/>
          <w:bCs w:val="0"/>
          <w:color w:val="000000" w:themeColor="text1"/>
          <w:spacing w:val="2"/>
          <w:sz w:val="32"/>
          <w:szCs w:val="32"/>
          <w14:textFill>
            <w14:solidFill>
              <w14:schemeClr w14:val="tx1"/>
            </w14:solidFill>
          </w14:textFill>
        </w:rPr>
      </w:pP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附</w:t>
      </w:r>
      <w:r>
        <w:rPr>
          <w:rFonts w:hint="eastAsia" w:eastAsia="黑体" w:cs="Times New Roman"/>
          <w:b w:val="0"/>
          <w:bCs w:val="0"/>
          <w:color w:val="000000" w:themeColor="text1"/>
          <w:spacing w:val="2"/>
          <w:sz w:val="32"/>
          <w:szCs w:val="32"/>
          <w:lang w:eastAsia="zh-CN"/>
          <w14:textFill>
            <w14:solidFill>
              <w14:schemeClr w14:val="tx1"/>
            </w14:solidFill>
          </w14:textFill>
        </w:rPr>
        <w:t>件</w:t>
      </w: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4</w:t>
      </w:r>
    </w:p>
    <w:p>
      <w:pPr>
        <w:spacing w:line="560" w:lineRule="exact"/>
        <w:ind w:firstLine="648" w:firstLineChars="200"/>
        <w:jc w:val="both"/>
        <w:rPr>
          <w:rFonts w:hint="default" w:ascii="Times New Roman" w:hAnsi="Times New Roman" w:eastAsia="仿宋_GB2312" w:cs="Times New Roman"/>
          <w:b/>
          <w:bCs/>
          <w:color w:val="000000" w:themeColor="text1"/>
          <w:spacing w:val="2"/>
          <w:sz w:val="32"/>
          <w:szCs w:val="32"/>
          <w14:textFill>
            <w14:solidFill>
              <w14:schemeClr w14:val="tx1"/>
            </w14:solidFill>
          </w14:textFill>
        </w:rPr>
      </w:pPr>
    </w:p>
    <w:p>
      <w:pPr>
        <w:spacing w:line="560" w:lineRule="exact"/>
        <w:ind w:firstLine="808" w:firstLineChars="200"/>
        <w:jc w:val="center"/>
        <w:rPr>
          <w:rFonts w:hint="eastAsia" w:ascii="方正小标宋_GBK" w:hAnsi="方正小标宋_GBK" w:eastAsia="方正小标宋_GBK" w:cs="方正小标宋_GBK"/>
          <w:b/>
          <w:bCs/>
          <w:color w:val="000000" w:themeColor="text1"/>
          <w:spacing w:val="2"/>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t>石台县“十四五”地质灾害防治规划搬迁避让项目安排表</w:t>
      </w:r>
    </w:p>
    <w:tbl>
      <w:tblPr>
        <w:tblStyle w:val="9"/>
        <w:tblW w:w="13371" w:type="dxa"/>
        <w:jc w:val="center"/>
        <w:tblInd w:w="0" w:type="dxa"/>
        <w:tblLayout w:type="fixed"/>
        <w:tblCellMar>
          <w:top w:w="0" w:type="dxa"/>
          <w:left w:w="108" w:type="dxa"/>
          <w:bottom w:w="0" w:type="dxa"/>
          <w:right w:w="108" w:type="dxa"/>
        </w:tblCellMar>
      </w:tblPr>
      <w:tblGrid>
        <w:gridCol w:w="1571"/>
        <w:gridCol w:w="1168"/>
        <w:gridCol w:w="953"/>
        <w:gridCol w:w="995"/>
        <w:gridCol w:w="936"/>
        <w:gridCol w:w="732"/>
        <w:gridCol w:w="629"/>
        <w:gridCol w:w="541"/>
        <w:gridCol w:w="789"/>
        <w:gridCol w:w="1067"/>
        <w:gridCol w:w="1067"/>
        <w:gridCol w:w="1067"/>
        <w:gridCol w:w="1067"/>
        <w:gridCol w:w="789"/>
      </w:tblGrid>
      <w:tr>
        <w:tblPrEx>
          <w:tblLayout w:type="fixed"/>
          <w:tblCellMar>
            <w:top w:w="0" w:type="dxa"/>
            <w:left w:w="108" w:type="dxa"/>
            <w:bottom w:w="0" w:type="dxa"/>
            <w:right w:w="108" w:type="dxa"/>
          </w:tblCellMar>
        </w:tblPrEx>
        <w:trPr>
          <w:trHeight w:val="483" w:hRule="atLeast"/>
          <w:jc w:val="center"/>
        </w:trPr>
        <w:tc>
          <w:tcPr>
            <w:tcW w:w="1571" w:type="dxa"/>
            <w:tcBorders>
              <w:top w:val="single" w:color="auto" w:sz="12" w:space="0"/>
              <w:left w:val="single" w:color="auto" w:sz="8"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统一编号</w:t>
            </w:r>
          </w:p>
        </w:tc>
        <w:tc>
          <w:tcPr>
            <w:tcW w:w="1168"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编号</w:t>
            </w:r>
          </w:p>
        </w:tc>
        <w:tc>
          <w:tcPr>
            <w:tcW w:w="953" w:type="dxa"/>
            <w:tcBorders>
              <w:top w:val="single" w:color="auto" w:sz="12"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乡（镇）</w:t>
            </w:r>
          </w:p>
        </w:tc>
        <w:tc>
          <w:tcPr>
            <w:tcW w:w="995"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村、组</w:t>
            </w:r>
          </w:p>
        </w:tc>
        <w:tc>
          <w:tcPr>
            <w:tcW w:w="936"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名称</w:t>
            </w:r>
          </w:p>
        </w:tc>
        <w:tc>
          <w:tcPr>
            <w:tcW w:w="732"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灾种</w:t>
            </w:r>
          </w:p>
        </w:tc>
        <w:tc>
          <w:tcPr>
            <w:tcW w:w="629"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户</w:t>
            </w:r>
          </w:p>
        </w:tc>
        <w:tc>
          <w:tcPr>
            <w:tcW w:w="541"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人</w:t>
            </w:r>
          </w:p>
        </w:tc>
        <w:tc>
          <w:tcPr>
            <w:tcW w:w="789" w:type="dxa"/>
            <w:tcBorders>
              <w:top w:val="single" w:color="auto" w:sz="12" w:space="0"/>
              <w:left w:val="nil"/>
              <w:bottom w:val="single" w:color="auto" w:sz="4" w:space="0"/>
              <w:right w:val="single" w:color="auto" w:sz="4" w:space="0"/>
            </w:tcBorders>
            <w:noWrap w:val="0"/>
            <w:vAlign w:val="center"/>
          </w:tcPr>
          <w:p>
            <w:pPr>
              <w:widowControl/>
              <w:spacing w:line="2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财产</w:t>
            </w: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1"/>
                <w:szCs w:val="21"/>
                <w14:textFill>
                  <w14:solidFill>
                    <w14:schemeClr w14:val="tx1"/>
                  </w14:solidFill>
                </w14:textFill>
              </w:rPr>
              <w:t>万元</w:t>
            </w: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危险</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等级</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稳定</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程度</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责任</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部门</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防治</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时间</w:t>
            </w:r>
          </w:p>
        </w:tc>
        <w:tc>
          <w:tcPr>
            <w:tcW w:w="789" w:type="dxa"/>
            <w:tcBorders>
              <w:top w:val="single" w:color="auto" w:sz="12" w:space="0"/>
              <w:left w:val="nil"/>
              <w:bottom w:val="single" w:color="auto" w:sz="4" w:space="0"/>
              <w:right w:val="single" w:color="auto" w:sz="8"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防治</w:t>
            </w:r>
          </w:p>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经费</w:t>
            </w:r>
          </w:p>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1"/>
                <w:szCs w:val="21"/>
                <w14:textFill>
                  <w14:solidFill>
                    <w14:schemeClr w14:val="tx1"/>
                  </w14:solidFill>
                </w14:textFill>
              </w:rPr>
              <w:t>万元</w:t>
            </w: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p>
        </w:tc>
      </w:tr>
      <w:tr>
        <w:tblPrEx>
          <w:tblLayout w:type="fixed"/>
          <w:tblCellMar>
            <w:top w:w="0" w:type="dxa"/>
            <w:left w:w="108" w:type="dxa"/>
            <w:bottom w:w="0" w:type="dxa"/>
            <w:right w:w="108" w:type="dxa"/>
          </w:tblCellMar>
        </w:tblPrEx>
        <w:trPr>
          <w:trHeight w:val="644" w:hRule="exact"/>
          <w:jc w:val="center"/>
        </w:trPr>
        <w:tc>
          <w:tcPr>
            <w:tcW w:w="1571"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341722020011 </w:t>
            </w:r>
          </w:p>
        </w:tc>
        <w:tc>
          <w:tcPr>
            <w:tcW w:w="1168" w:type="dxa"/>
            <w:tcBorders>
              <w:top w:val="nil"/>
              <w:left w:val="nil"/>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ST2011</w:t>
            </w:r>
          </w:p>
        </w:tc>
        <w:tc>
          <w:tcPr>
            <w:tcW w:w="953" w:type="dxa"/>
            <w:tcBorders>
              <w:top w:val="nil"/>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tc>
        <w:tc>
          <w:tcPr>
            <w:tcW w:w="995"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青联村下坡石组</w:t>
            </w:r>
          </w:p>
        </w:tc>
        <w:tc>
          <w:tcPr>
            <w:tcW w:w="936"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下坡石崩塌</w:t>
            </w:r>
          </w:p>
        </w:tc>
        <w:tc>
          <w:tcPr>
            <w:tcW w:w="73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崩塌</w:t>
            </w:r>
          </w:p>
        </w:tc>
        <w:tc>
          <w:tcPr>
            <w:tcW w:w="62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w:t>
            </w:r>
          </w:p>
        </w:tc>
        <w:tc>
          <w:tcPr>
            <w:tcW w:w="54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78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镇政府</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2022</w:t>
            </w:r>
          </w:p>
        </w:tc>
        <w:tc>
          <w:tcPr>
            <w:tcW w:w="789" w:type="dxa"/>
            <w:tcBorders>
              <w:top w:val="nil"/>
              <w:left w:val="nil"/>
              <w:bottom w:val="single" w:color="auto" w:sz="4" w:space="0"/>
              <w:right w:val="single" w:color="auto" w:sz="8"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4</w:t>
            </w:r>
          </w:p>
        </w:tc>
      </w:tr>
      <w:tr>
        <w:tblPrEx>
          <w:tblLayout w:type="fixed"/>
          <w:tblCellMar>
            <w:top w:w="0" w:type="dxa"/>
            <w:left w:w="108" w:type="dxa"/>
            <w:bottom w:w="0" w:type="dxa"/>
            <w:right w:w="108" w:type="dxa"/>
          </w:tblCellMar>
        </w:tblPrEx>
        <w:trPr>
          <w:trHeight w:val="644" w:hRule="exact"/>
          <w:jc w:val="center"/>
        </w:trPr>
        <w:tc>
          <w:tcPr>
            <w:tcW w:w="1571" w:type="dxa"/>
            <w:tcBorders>
              <w:top w:val="single" w:color="auto" w:sz="4" w:space="0"/>
              <w:left w:val="single" w:color="auto" w:sz="8" w:space="0"/>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341722010003 </w:t>
            </w:r>
          </w:p>
        </w:tc>
        <w:tc>
          <w:tcPr>
            <w:tcW w:w="1168" w:type="dxa"/>
            <w:tcBorders>
              <w:top w:val="single" w:color="auto" w:sz="4" w:space="0"/>
              <w:left w:val="nil"/>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color w:val="000000" w:themeColor="text1"/>
                <w:kern w:val="0"/>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ST1003</w:t>
            </w:r>
          </w:p>
        </w:tc>
        <w:tc>
          <w:tcPr>
            <w:tcW w:w="953"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仙寓镇</w:t>
            </w:r>
          </w:p>
        </w:tc>
        <w:tc>
          <w:tcPr>
            <w:tcW w:w="995"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莲花村上屋组</w:t>
            </w:r>
          </w:p>
        </w:tc>
        <w:tc>
          <w:tcPr>
            <w:tcW w:w="936"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上屋组滑坡</w:t>
            </w:r>
          </w:p>
        </w:tc>
        <w:tc>
          <w:tcPr>
            <w:tcW w:w="732"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62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4</w:t>
            </w:r>
          </w:p>
        </w:tc>
        <w:tc>
          <w:tcPr>
            <w:tcW w:w="54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18</w:t>
            </w:r>
          </w:p>
        </w:tc>
        <w:tc>
          <w:tcPr>
            <w:tcW w:w="78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70</w:t>
            </w:r>
          </w:p>
        </w:tc>
        <w:tc>
          <w:tcPr>
            <w:tcW w:w="1067"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1067"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067"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镇政府</w:t>
            </w:r>
          </w:p>
        </w:tc>
        <w:tc>
          <w:tcPr>
            <w:tcW w:w="1067"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2025</w:t>
            </w:r>
          </w:p>
        </w:tc>
        <w:tc>
          <w:tcPr>
            <w:tcW w:w="789" w:type="dxa"/>
            <w:tcBorders>
              <w:top w:val="single" w:color="auto" w:sz="4" w:space="0"/>
              <w:left w:val="nil"/>
              <w:bottom w:val="single" w:color="auto" w:sz="4" w:space="0"/>
              <w:right w:val="single" w:color="auto" w:sz="8"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16</w:t>
            </w:r>
          </w:p>
        </w:tc>
      </w:tr>
      <w:tr>
        <w:tblPrEx>
          <w:tblLayout w:type="fixed"/>
          <w:tblCellMar>
            <w:top w:w="0" w:type="dxa"/>
            <w:left w:w="108" w:type="dxa"/>
            <w:bottom w:w="0" w:type="dxa"/>
            <w:right w:w="108" w:type="dxa"/>
          </w:tblCellMar>
        </w:tblPrEx>
        <w:trPr>
          <w:trHeight w:val="410" w:hRule="exact"/>
          <w:jc w:val="center"/>
        </w:trPr>
        <w:tc>
          <w:tcPr>
            <w:tcW w:w="2739" w:type="dxa"/>
            <w:gridSpan w:val="2"/>
            <w:tcBorders>
              <w:top w:val="single" w:color="auto" w:sz="4" w:space="0"/>
              <w:left w:val="single" w:color="auto" w:sz="8" w:space="0"/>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合计</w:t>
            </w:r>
          </w:p>
        </w:tc>
        <w:tc>
          <w:tcPr>
            <w:tcW w:w="953" w:type="dxa"/>
            <w:tcBorders>
              <w:top w:val="single" w:color="auto" w:sz="4" w:space="0"/>
              <w:left w:val="single" w:color="auto" w:sz="4" w:space="0"/>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995"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936"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732"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629"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541"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23</w:t>
            </w:r>
          </w:p>
        </w:tc>
        <w:tc>
          <w:tcPr>
            <w:tcW w:w="789"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75</w:t>
            </w:r>
          </w:p>
        </w:tc>
        <w:tc>
          <w:tcPr>
            <w:tcW w:w="1067"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067"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067"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067"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789" w:type="dxa"/>
            <w:tcBorders>
              <w:top w:val="single" w:color="auto" w:sz="4" w:space="0"/>
              <w:left w:val="nil"/>
              <w:bottom w:val="single" w:color="auto" w:sz="8" w:space="0"/>
              <w:right w:val="single" w:color="auto" w:sz="8"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w:t>
            </w:r>
          </w:p>
        </w:tc>
      </w:tr>
    </w:tbl>
    <w:p>
      <w:pPr>
        <w:spacing w:line="560" w:lineRule="exact"/>
        <w:ind w:firstLine="568" w:firstLineChars="200"/>
        <w:jc w:val="center"/>
        <w:rPr>
          <w:rFonts w:hint="default" w:ascii="Times New Roman" w:hAnsi="Times New Roman" w:eastAsia="仿宋_GB2312" w:cs="Times New Roman"/>
          <w:b/>
          <w:bCs/>
          <w:color w:val="000000" w:themeColor="text1"/>
          <w:spacing w:val="2"/>
          <w:sz w:val="28"/>
          <w:szCs w:val="28"/>
          <w14:textFill>
            <w14:solidFill>
              <w14:schemeClr w14:val="tx1"/>
            </w14:solidFill>
          </w14:textFill>
        </w:rPr>
      </w:pPr>
    </w:p>
    <w:p>
      <w:pPr>
        <w:spacing w:line="560" w:lineRule="exact"/>
        <w:jc w:val="both"/>
        <w:rPr>
          <w:rFonts w:hint="default" w:ascii="Times New Roman" w:hAnsi="Times New Roman" w:eastAsia="黑体" w:cs="Times New Roman"/>
          <w:b w:val="0"/>
          <w:bCs w:val="0"/>
          <w:color w:val="000000" w:themeColor="text1"/>
          <w:spacing w:val="2"/>
          <w:sz w:val="32"/>
          <w:szCs w:val="32"/>
          <w14:textFill>
            <w14:solidFill>
              <w14:schemeClr w14:val="tx1"/>
            </w14:solidFill>
          </w14:textFill>
        </w:rPr>
      </w:pPr>
    </w:p>
    <w:p>
      <w:pPr>
        <w:spacing w:line="560" w:lineRule="exact"/>
        <w:jc w:val="both"/>
        <w:rPr>
          <w:rFonts w:hint="default" w:ascii="Times New Roman" w:hAnsi="Times New Roman" w:eastAsia="黑体" w:cs="Times New Roman"/>
          <w:b w:val="0"/>
          <w:bCs w:val="0"/>
          <w:color w:val="000000" w:themeColor="text1"/>
          <w:spacing w:val="2"/>
          <w:sz w:val="32"/>
          <w:szCs w:val="32"/>
          <w14:textFill>
            <w14:solidFill>
              <w14:schemeClr w14:val="tx1"/>
            </w14:solidFill>
          </w14:textFill>
        </w:rPr>
      </w:pP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附</w:t>
      </w:r>
      <w:r>
        <w:rPr>
          <w:rFonts w:hint="eastAsia" w:eastAsia="黑体" w:cs="Times New Roman"/>
          <w:b w:val="0"/>
          <w:bCs w:val="0"/>
          <w:color w:val="000000" w:themeColor="text1"/>
          <w:spacing w:val="2"/>
          <w:sz w:val="32"/>
          <w:szCs w:val="32"/>
          <w:lang w:eastAsia="zh-CN"/>
          <w14:textFill>
            <w14:solidFill>
              <w14:schemeClr w14:val="tx1"/>
            </w14:solidFill>
          </w14:textFill>
        </w:rPr>
        <w:t>件</w:t>
      </w: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 xml:space="preserve">5 </w:t>
      </w:r>
    </w:p>
    <w:p>
      <w:pPr>
        <w:spacing w:line="560" w:lineRule="exact"/>
        <w:ind w:firstLine="808" w:firstLineChars="200"/>
        <w:jc w:val="cente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t>石台县“十四五”地质灾害防治规划排危除险项目安排表</w:t>
      </w:r>
    </w:p>
    <w:tbl>
      <w:tblPr>
        <w:tblStyle w:val="9"/>
        <w:tblW w:w="13347" w:type="dxa"/>
        <w:jc w:val="center"/>
        <w:tblInd w:w="0" w:type="dxa"/>
        <w:tblLayout w:type="fixed"/>
        <w:tblCellMar>
          <w:top w:w="0" w:type="dxa"/>
          <w:left w:w="108" w:type="dxa"/>
          <w:bottom w:w="0" w:type="dxa"/>
          <w:right w:w="108" w:type="dxa"/>
        </w:tblCellMar>
      </w:tblPr>
      <w:tblGrid>
        <w:gridCol w:w="1536"/>
        <w:gridCol w:w="917"/>
        <w:gridCol w:w="902"/>
        <w:gridCol w:w="1358"/>
        <w:gridCol w:w="922"/>
        <w:gridCol w:w="388"/>
        <w:gridCol w:w="602"/>
        <w:gridCol w:w="480"/>
        <w:gridCol w:w="800"/>
        <w:gridCol w:w="1067"/>
        <w:gridCol w:w="1067"/>
        <w:gridCol w:w="1067"/>
        <w:gridCol w:w="1391"/>
        <w:gridCol w:w="850"/>
      </w:tblGrid>
      <w:tr>
        <w:tblPrEx>
          <w:tblLayout w:type="fixed"/>
          <w:tblCellMar>
            <w:top w:w="0" w:type="dxa"/>
            <w:left w:w="108" w:type="dxa"/>
            <w:bottom w:w="0" w:type="dxa"/>
            <w:right w:w="108" w:type="dxa"/>
          </w:tblCellMar>
        </w:tblPrEx>
        <w:trPr>
          <w:trHeight w:val="737" w:hRule="exact"/>
          <w:jc w:val="center"/>
        </w:trPr>
        <w:tc>
          <w:tcPr>
            <w:tcW w:w="1536" w:type="dxa"/>
            <w:tcBorders>
              <w:top w:val="single" w:color="auto" w:sz="12" w:space="0"/>
              <w:left w:val="single" w:color="auto" w:sz="8"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统一编号</w:t>
            </w:r>
          </w:p>
        </w:tc>
        <w:tc>
          <w:tcPr>
            <w:tcW w:w="917"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编号</w:t>
            </w:r>
          </w:p>
        </w:tc>
        <w:tc>
          <w:tcPr>
            <w:tcW w:w="902"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乡（镇）</w:t>
            </w:r>
          </w:p>
        </w:tc>
        <w:tc>
          <w:tcPr>
            <w:tcW w:w="1358"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村、组</w:t>
            </w:r>
          </w:p>
        </w:tc>
        <w:tc>
          <w:tcPr>
            <w:tcW w:w="922"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名称</w:t>
            </w:r>
          </w:p>
        </w:tc>
        <w:tc>
          <w:tcPr>
            <w:tcW w:w="388"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灾种</w:t>
            </w:r>
          </w:p>
        </w:tc>
        <w:tc>
          <w:tcPr>
            <w:tcW w:w="602"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户</w:t>
            </w:r>
          </w:p>
        </w:tc>
        <w:tc>
          <w:tcPr>
            <w:tcW w:w="480" w:type="dxa"/>
            <w:tcBorders>
              <w:top w:val="single" w:color="auto" w:sz="12"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人</w:t>
            </w:r>
          </w:p>
        </w:tc>
        <w:tc>
          <w:tcPr>
            <w:tcW w:w="800" w:type="dxa"/>
            <w:tcBorders>
              <w:top w:val="single" w:color="auto" w:sz="12" w:space="0"/>
              <w:left w:val="nil"/>
              <w:bottom w:val="single" w:color="auto" w:sz="4" w:space="0"/>
              <w:right w:val="single" w:color="auto" w:sz="4" w:space="0"/>
            </w:tcBorders>
            <w:noWrap w:val="0"/>
            <w:vAlign w:val="center"/>
          </w:tcPr>
          <w:p>
            <w:pPr>
              <w:widowControl/>
              <w:spacing w:line="2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财产</w:t>
            </w:r>
          </w:p>
          <w:p>
            <w:pPr>
              <w:widowControl/>
              <w:spacing w:line="2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cs="Times New Roman"/>
                <w:b/>
                <w:bCs/>
                <w:color w:val="000000" w:themeColor="text1"/>
                <w:kern w:val="0"/>
                <w:sz w:val="21"/>
                <w:szCs w:val="21"/>
                <w:lang w:val="en-US"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1"/>
                <w:szCs w:val="21"/>
                <w14:textFill>
                  <w14:solidFill>
                    <w14:schemeClr w14:val="tx1"/>
                  </w14:solidFill>
                </w14:textFill>
              </w:rPr>
              <w:t>万元</w:t>
            </w: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危险</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等级</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稳定</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程度</w:t>
            </w:r>
          </w:p>
        </w:tc>
        <w:tc>
          <w:tcPr>
            <w:tcW w:w="1067"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责任</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部门</w:t>
            </w:r>
          </w:p>
        </w:tc>
        <w:tc>
          <w:tcPr>
            <w:tcW w:w="1391" w:type="dxa"/>
            <w:tcBorders>
              <w:top w:val="single" w:color="auto" w:sz="12" w:space="0"/>
              <w:left w:val="nil"/>
              <w:bottom w:val="single" w:color="auto" w:sz="4" w:space="0"/>
              <w:right w:val="single" w:color="auto" w:sz="4" w:space="0"/>
            </w:tcBorders>
            <w:noWrap w:val="0"/>
            <w:vAlign w:val="center"/>
          </w:tcPr>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防治</w:t>
            </w:r>
          </w:p>
          <w:p>
            <w:pPr>
              <w:widowControl/>
              <w:spacing w:line="220" w:lineRule="exact"/>
              <w:ind w:firstLine="420"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时间</w:t>
            </w:r>
          </w:p>
        </w:tc>
        <w:tc>
          <w:tcPr>
            <w:tcW w:w="850" w:type="dxa"/>
            <w:tcBorders>
              <w:top w:val="single" w:color="auto" w:sz="12" w:space="0"/>
              <w:left w:val="nil"/>
              <w:bottom w:val="single" w:color="auto" w:sz="4" w:space="0"/>
              <w:right w:val="single" w:color="auto" w:sz="8" w:space="0"/>
            </w:tcBorders>
            <w:noWrap w:val="0"/>
            <w:vAlign w:val="center"/>
          </w:tcPr>
          <w:p>
            <w:pPr>
              <w:widowControl/>
              <w:spacing w:line="2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防治经费</w:t>
            </w:r>
          </w:p>
          <w:p>
            <w:pPr>
              <w:widowControl/>
              <w:spacing w:line="2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1"/>
                <w:szCs w:val="21"/>
                <w14:textFill>
                  <w14:solidFill>
                    <w14:schemeClr w14:val="tx1"/>
                  </w14:solidFill>
                </w14:textFill>
              </w:rPr>
              <w:t>万元</w:t>
            </w: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p>
        </w:tc>
      </w:tr>
      <w:tr>
        <w:tblPrEx>
          <w:tblLayout w:type="fixed"/>
          <w:tblCellMar>
            <w:top w:w="0" w:type="dxa"/>
            <w:left w:w="108" w:type="dxa"/>
            <w:bottom w:w="0" w:type="dxa"/>
            <w:right w:w="108" w:type="dxa"/>
          </w:tblCellMar>
        </w:tblPrEx>
        <w:trPr>
          <w:trHeight w:val="1459" w:hRule="exact"/>
          <w:jc w:val="center"/>
        </w:trPr>
        <w:tc>
          <w:tcPr>
            <w:tcW w:w="1536"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341722010036 </w:t>
            </w:r>
          </w:p>
        </w:tc>
        <w:tc>
          <w:tcPr>
            <w:tcW w:w="917" w:type="dxa"/>
            <w:tcBorders>
              <w:top w:val="nil"/>
              <w:left w:val="nil"/>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ST1036</w:t>
            </w:r>
          </w:p>
        </w:tc>
        <w:tc>
          <w:tcPr>
            <w:tcW w:w="90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tc>
        <w:tc>
          <w:tcPr>
            <w:tcW w:w="135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新联村三、四组</w:t>
            </w:r>
          </w:p>
        </w:tc>
        <w:tc>
          <w:tcPr>
            <w:tcW w:w="92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三、四组滑坡</w:t>
            </w:r>
          </w:p>
        </w:tc>
        <w:tc>
          <w:tcPr>
            <w:tcW w:w="38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60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15</w:t>
            </w:r>
          </w:p>
        </w:tc>
        <w:tc>
          <w:tcPr>
            <w:tcW w:w="480"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27</w:t>
            </w:r>
          </w:p>
        </w:tc>
        <w:tc>
          <w:tcPr>
            <w:tcW w:w="800"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150</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镇政府</w:t>
            </w:r>
          </w:p>
        </w:tc>
        <w:tc>
          <w:tcPr>
            <w:tcW w:w="139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2023</w:t>
            </w:r>
          </w:p>
        </w:tc>
        <w:tc>
          <w:tcPr>
            <w:tcW w:w="850" w:type="dxa"/>
            <w:tcBorders>
              <w:top w:val="nil"/>
              <w:left w:val="nil"/>
              <w:bottom w:val="single" w:color="auto" w:sz="4" w:space="0"/>
              <w:right w:val="single" w:color="auto" w:sz="8"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w:t>
            </w:r>
          </w:p>
        </w:tc>
      </w:tr>
      <w:tr>
        <w:tblPrEx>
          <w:tblLayout w:type="fixed"/>
          <w:tblCellMar>
            <w:top w:w="0" w:type="dxa"/>
            <w:left w:w="108" w:type="dxa"/>
            <w:bottom w:w="0" w:type="dxa"/>
            <w:right w:w="108" w:type="dxa"/>
          </w:tblCellMar>
        </w:tblPrEx>
        <w:trPr>
          <w:trHeight w:val="1039" w:hRule="exact"/>
          <w:jc w:val="center"/>
        </w:trPr>
        <w:tc>
          <w:tcPr>
            <w:tcW w:w="1536"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341722010029 </w:t>
            </w:r>
          </w:p>
        </w:tc>
        <w:tc>
          <w:tcPr>
            <w:tcW w:w="917" w:type="dxa"/>
            <w:tcBorders>
              <w:top w:val="nil"/>
              <w:left w:val="nil"/>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ST1029</w:t>
            </w:r>
          </w:p>
        </w:tc>
        <w:tc>
          <w:tcPr>
            <w:tcW w:w="90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横渡镇</w:t>
            </w:r>
          </w:p>
        </w:tc>
        <w:tc>
          <w:tcPr>
            <w:tcW w:w="135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河西村</w:t>
            </w:r>
          </w:p>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狮马岭组</w:t>
            </w:r>
          </w:p>
        </w:tc>
        <w:tc>
          <w:tcPr>
            <w:tcW w:w="92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狮马岭滑坡</w:t>
            </w:r>
          </w:p>
        </w:tc>
        <w:tc>
          <w:tcPr>
            <w:tcW w:w="38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60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480"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8</w:t>
            </w:r>
          </w:p>
        </w:tc>
        <w:tc>
          <w:tcPr>
            <w:tcW w:w="800"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50</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镇政府</w:t>
            </w:r>
          </w:p>
        </w:tc>
        <w:tc>
          <w:tcPr>
            <w:tcW w:w="139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2024</w:t>
            </w:r>
          </w:p>
        </w:tc>
        <w:tc>
          <w:tcPr>
            <w:tcW w:w="850" w:type="dxa"/>
            <w:tcBorders>
              <w:top w:val="nil"/>
              <w:left w:val="nil"/>
              <w:bottom w:val="single" w:color="auto" w:sz="4" w:space="0"/>
              <w:right w:val="single" w:color="auto" w:sz="8"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w:t>
            </w:r>
          </w:p>
        </w:tc>
      </w:tr>
      <w:tr>
        <w:tblPrEx>
          <w:tblLayout w:type="fixed"/>
          <w:tblCellMar>
            <w:top w:w="0" w:type="dxa"/>
            <w:left w:w="108" w:type="dxa"/>
            <w:bottom w:w="0" w:type="dxa"/>
            <w:right w:w="108" w:type="dxa"/>
          </w:tblCellMar>
        </w:tblPrEx>
        <w:trPr>
          <w:trHeight w:val="1189" w:hRule="exact"/>
          <w:jc w:val="center"/>
        </w:trPr>
        <w:tc>
          <w:tcPr>
            <w:tcW w:w="1536"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341722010157 </w:t>
            </w:r>
          </w:p>
        </w:tc>
        <w:tc>
          <w:tcPr>
            <w:tcW w:w="917" w:type="dxa"/>
            <w:tcBorders>
              <w:top w:val="nil"/>
              <w:left w:val="nil"/>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kern w:val="0"/>
                <w:sz w:val="21"/>
                <w:szCs w:val="21"/>
                <w14:textFill>
                  <w14:solidFill>
                    <w14:schemeClr w14:val="tx1"/>
                  </w14:solidFill>
                </w14:textFill>
              </w:rPr>
              <w:t>ST1157</w:t>
            </w:r>
          </w:p>
        </w:tc>
        <w:tc>
          <w:tcPr>
            <w:tcW w:w="90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横渡镇</w:t>
            </w:r>
          </w:p>
        </w:tc>
        <w:tc>
          <w:tcPr>
            <w:tcW w:w="135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鸿陵村车田组</w:t>
            </w:r>
          </w:p>
        </w:tc>
        <w:tc>
          <w:tcPr>
            <w:tcW w:w="92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车田组邹后桃屋后</w:t>
            </w:r>
          </w:p>
        </w:tc>
        <w:tc>
          <w:tcPr>
            <w:tcW w:w="38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602"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w:t>
            </w:r>
          </w:p>
        </w:tc>
        <w:tc>
          <w:tcPr>
            <w:tcW w:w="480"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9</w:t>
            </w:r>
          </w:p>
        </w:tc>
        <w:tc>
          <w:tcPr>
            <w:tcW w:w="800"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70</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067"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镇政府</w:t>
            </w:r>
          </w:p>
        </w:tc>
        <w:tc>
          <w:tcPr>
            <w:tcW w:w="139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2025</w:t>
            </w:r>
          </w:p>
        </w:tc>
        <w:tc>
          <w:tcPr>
            <w:tcW w:w="850" w:type="dxa"/>
            <w:tcBorders>
              <w:top w:val="nil"/>
              <w:left w:val="nil"/>
              <w:bottom w:val="single" w:color="auto" w:sz="4" w:space="0"/>
              <w:right w:val="single" w:color="auto" w:sz="8"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20</w:t>
            </w:r>
          </w:p>
        </w:tc>
      </w:tr>
      <w:tr>
        <w:tblPrEx>
          <w:tblLayout w:type="fixed"/>
          <w:tblCellMar>
            <w:top w:w="0" w:type="dxa"/>
            <w:left w:w="108" w:type="dxa"/>
            <w:bottom w:w="0" w:type="dxa"/>
            <w:right w:w="108" w:type="dxa"/>
          </w:tblCellMar>
        </w:tblPrEx>
        <w:trPr>
          <w:trHeight w:val="924" w:hRule="exact"/>
          <w:jc w:val="center"/>
        </w:trPr>
        <w:tc>
          <w:tcPr>
            <w:tcW w:w="2453" w:type="dxa"/>
            <w:gridSpan w:val="2"/>
            <w:tcBorders>
              <w:top w:val="single" w:color="auto" w:sz="4" w:space="0"/>
              <w:left w:val="single" w:color="auto" w:sz="8" w:space="0"/>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合计</w:t>
            </w:r>
          </w:p>
        </w:tc>
        <w:tc>
          <w:tcPr>
            <w:tcW w:w="902"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358"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922"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388"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602"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23</w:t>
            </w:r>
          </w:p>
        </w:tc>
        <w:tc>
          <w:tcPr>
            <w:tcW w:w="480"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44</w:t>
            </w:r>
          </w:p>
        </w:tc>
        <w:tc>
          <w:tcPr>
            <w:tcW w:w="800"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270</w:t>
            </w:r>
          </w:p>
        </w:tc>
        <w:tc>
          <w:tcPr>
            <w:tcW w:w="1067"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067"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067"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1391"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p>
        </w:tc>
        <w:tc>
          <w:tcPr>
            <w:tcW w:w="850" w:type="dxa"/>
            <w:tcBorders>
              <w:top w:val="single" w:color="auto" w:sz="4" w:space="0"/>
              <w:left w:val="nil"/>
              <w:bottom w:val="single" w:color="auto" w:sz="8" w:space="0"/>
              <w:right w:val="single" w:color="auto" w:sz="8"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60</w:t>
            </w:r>
          </w:p>
        </w:tc>
      </w:tr>
    </w:tbl>
    <w:p>
      <w:pPr>
        <w:spacing w:line="560" w:lineRule="exact"/>
        <w:jc w:val="both"/>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pPr>
    </w:p>
    <w:p>
      <w:pPr>
        <w:spacing w:line="560" w:lineRule="exact"/>
        <w:jc w:val="both"/>
        <w:rPr>
          <w:rFonts w:hint="default" w:ascii="Times New Roman" w:hAnsi="Times New Roman" w:eastAsia="黑体" w:cs="Times New Roman"/>
          <w:b w:val="0"/>
          <w:bCs w:val="0"/>
          <w:color w:val="000000" w:themeColor="text1"/>
          <w:spacing w:val="2"/>
          <w:sz w:val="32"/>
          <w:szCs w:val="32"/>
          <w14:textFill>
            <w14:solidFill>
              <w14:schemeClr w14:val="tx1"/>
            </w14:solidFill>
          </w14:textFill>
        </w:rPr>
      </w:pPr>
      <w:r>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t>附件</w:t>
      </w:r>
      <w:r>
        <w:rPr>
          <w:rFonts w:hint="default" w:ascii="Times New Roman" w:hAnsi="Times New Roman" w:eastAsia="黑体" w:cs="Times New Roman"/>
          <w:b w:val="0"/>
          <w:bCs w:val="0"/>
          <w:color w:val="000000" w:themeColor="text1"/>
          <w:spacing w:val="2"/>
          <w:sz w:val="32"/>
          <w:szCs w:val="32"/>
          <w14:textFill>
            <w14:solidFill>
              <w14:schemeClr w14:val="tx1"/>
            </w14:solidFill>
          </w14:textFill>
        </w:rPr>
        <w:t>6</w:t>
      </w:r>
    </w:p>
    <w:p>
      <w:pPr>
        <w:spacing w:line="560" w:lineRule="exact"/>
        <w:ind w:firstLine="808" w:firstLineChars="200"/>
        <w:jc w:val="cente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t>石台县“十四五”地质灾害防治规划工程治理项目安排表</w:t>
      </w:r>
    </w:p>
    <w:tbl>
      <w:tblPr>
        <w:tblStyle w:val="9"/>
        <w:tblW w:w="13745" w:type="dxa"/>
        <w:tblInd w:w="113" w:type="dxa"/>
        <w:tblLayout w:type="fixed"/>
        <w:tblCellMar>
          <w:top w:w="0" w:type="dxa"/>
          <w:left w:w="108" w:type="dxa"/>
          <w:bottom w:w="0" w:type="dxa"/>
          <w:right w:w="108" w:type="dxa"/>
        </w:tblCellMar>
      </w:tblPr>
      <w:tblGrid>
        <w:gridCol w:w="1502"/>
        <w:gridCol w:w="885"/>
        <w:gridCol w:w="900"/>
        <w:gridCol w:w="1095"/>
        <w:gridCol w:w="2843"/>
        <w:gridCol w:w="708"/>
        <w:gridCol w:w="426"/>
        <w:gridCol w:w="708"/>
        <w:gridCol w:w="709"/>
        <w:gridCol w:w="709"/>
        <w:gridCol w:w="850"/>
        <w:gridCol w:w="851"/>
        <w:gridCol w:w="709"/>
        <w:gridCol w:w="850"/>
      </w:tblGrid>
      <w:tr>
        <w:tblPrEx>
          <w:tblLayout w:type="fixed"/>
          <w:tblCellMar>
            <w:top w:w="0" w:type="dxa"/>
            <w:left w:w="108" w:type="dxa"/>
            <w:bottom w:w="0" w:type="dxa"/>
            <w:right w:w="108" w:type="dxa"/>
          </w:tblCellMar>
        </w:tblPrEx>
        <w:trPr>
          <w:trHeight w:val="480" w:hRule="atLeast"/>
        </w:trPr>
        <w:tc>
          <w:tcPr>
            <w:tcW w:w="1502" w:type="dxa"/>
            <w:tcBorders>
              <w:top w:val="single" w:color="auto" w:sz="12" w:space="0"/>
              <w:left w:val="single" w:color="auto" w:sz="8"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统一编号</w:t>
            </w:r>
          </w:p>
        </w:tc>
        <w:tc>
          <w:tcPr>
            <w:tcW w:w="885" w:type="dxa"/>
            <w:tcBorders>
              <w:top w:val="single" w:color="auto" w:sz="12" w:space="0"/>
              <w:left w:val="nil"/>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编号</w:t>
            </w:r>
          </w:p>
        </w:tc>
        <w:tc>
          <w:tcPr>
            <w:tcW w:w="900" w:type="dxa"/>
            <w:tcBorders>
              <w:top w:val="single" w:color="auto" w:sz="12" w:space="0"/>
              <w:left w:val="single" w:color="auto" w:sz="4" w:space="0"/>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乡（镇）</w:t>
            </w:r>
          </w:p>
        </w:tc>
        <w:tc>
          <w:tcPr>
            <w:tcW w:w="1095" w:type="dxa"/>
            <w:tcBorders>
              <w:top w:val="single" w:color="auto" w:sz="12" w:space="0"/>
              <w:left w:val="nil"/>
              <w:bottom w:val="single" w:color="auto" w:sz="4" w:space="0"/>
              <w:right w:val="single" w:color="auto" w:sz="4" w:space="0"/>
            </w:tcBorders>
            <w:noWrap w:val="0"/>
            <w:vAlign w:val="center"/>
          </w:tcPr>
          <w:p>
            <w:pPr>
              <w:widowControl/>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村、组</w:t>
            </w:r>
          </w:p>
        </w:tc>
        <w:tc>
          <w:tcPr>
            <w:tcW w:w="2843" w:type="dxa"/>
            <w:tcBorders>
              <w:top w:val="single" w:color="auto" w:sz="12" w:space="0"/>
              <w:left w:val="nil"/>
              <w:bottom w:val="single" w:color="auto" w:sz="4" w:space="0"/>
              <w:right w:val="single" w:color="auto" w:sz="4" w:space="0"/>
            </w:tcBorders>
            <w:noWrap w:val="0"/>
            <w:vAlign w:val="center"/>
          </w:tcPr>
          <w:p>
            <w:pPr>
              <w:widowControl/>
              <w:spacing w:line="240" w:lineRule="exact"/>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名称</w:t>
            </w:r>
          </w:p>
        </w:tc>
        <w:tc>
          <w:tcPr>
            <w:tcW w:w="708" w:type="dxa"/>
            <w:tcBorders>
              <w:top w:val="single" w:color="auto" w:sz="12" w:space="0"/>
              <w:left w:val="nil"/>
              <w:bottom w:val="single" w:color="auto" w:sz="4" w:space="0"/>
              <w:right w:val="single" w:color="auto" w:sz="4" w:space="0"/>
            </w:tcBorders>
            <w:noWrap w:val="0"/>
            <w:vAlign w:val="center"/>
          </w:tcPr>
          <w:p>
            <w:pPr>
              <w:widowControl/>
              <w:spacing w:line="240" w:lineRule="exact"/>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灾种</w:t>
            </w:r>
          </w:p>
        </w:tc>
        <w:tc>
          <w:tcPr>
            <w:tcW w:w="426" w:type="dxa"/>
            <w:tcBorders>
              <w:top w:val="single" w:color="auto" w:sz="12" w:space="0"/>
              <w:left w:val="nil"/>
              <w:bottom w:val="single" w:color="auto" w:sz="4" w:space="0"/>
              <w:right w:val="single" w:color="auto" w:sz="4" w:space="0"/>
            </w:tcBorders>
            <w:noWrap w:val="0"/>
            <w:vAlign w:val="center"/>
          </w:tcPr>
          <w:p>
            <w:pPr>
              <w:widowControl/>
              <w:spacing w:line="240" w:lineRule="exact"/>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户</w:t>
            </w:r>
          </w:p>
        </w:tc>
        <w:tc>
          <w:tcPr>
            <w:tcW w:w="708" w:type="dxa"/>
            <w:tcBorders>
              <w:top w:val="single" w:color="auto" w:sz="12" w:space="0"/>
              <w:left w:val="nil"/>
              <w:bottom w:val="single" w:color="auto" w:sz="4" w:space="0"/>
              <w:right w:val="single" w:color="auto" w:sz="4" w:space="0"/>
            </w:tcBorders>
            <w:noWrap w:val="0"/>
            <w:vAlign w:val="center"/>
          </w:tcPr>
          <w:p>
            <w:pPr>
              <w:widowControl/>
              <w:spacing w:line="240" w:lineRule="exact"/>
              <w:jc w:val="center"/>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人</w:t>
            </w:r>
          </w:p>
        </w:tc>
        <w:tc>
          <w:tcPr>
            <w:tcW w:w="709" w:type="dxa"/>
            <w:tcBorders>
              <w:top w:val="single" w:color="auto" w:sz="12" w:space="0"/>
              <w:left w:val="nil"/>
              <w:bottom w:val="single" w:color="auto" w:sz="4" w:space="0"/>
              <w:right w:val="single" w:color="auto" w:sz="4" w:space="0"/>
            </w:tcBorders>
            <w:noWrap w:val="0"/>
            <w:vAlign w:val="center"/>
          </w:tcPr>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财产</w:t>
            </w:r>
          </w:p>
          <w:p>
            <w:pPr>
              <w:widowControl/>
              <w:spacing w:line="240" w:lineRule="exact"/>
              <w:jc w:val="both"/>
              <w:rPr>
                <w:rFonts w:hint="default" w:ascii="Times New Roman" w:hAnsi="Times New Roman" w:eastAsia="仿宋_GB2312" w:cs="Times New Roman"/>
                <w:b/>
                <w:bCs/>
                <w:color w:val="000000" w:themeColor="text1"/>
                <w:kern w:val="0"/>
                <w:sz w:val="15"/>
                <w:szCs w:val="15"/>
                <w14:textFill>
                  <w14:solidFill>
                    <w14:schemeClr w14:val="tx1"/>
                  </w14:solidFill>
                </w14:textFill>
              </w:rPr>
            </w:pPr>
            <w:r>
              <w:rPr>
                <w:rFonts w:hint="default" w:ascii="Times New Roman" w:hAnsi="Times New Roman" w:cs="Times New Roman"/>
                <w:b/>
                <w:bCs/>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0"/>
                <w:szCs w:val="20"/>
                <w14:textFill>
                  <w14:solidFill>
                    <w14:schemeClr w14:val="tx1"/>
                  </w14:solidFill>
                </w14:textFill>
              </w:rPr>
              <w:t>万元</w:t>
            </w:r>
            <w:r>
              <w:rPr>
                <w:rFonts w:hint="default" w:ascii="Times New Roman" w:hAnsi="Times New Roman" w:cs="Times New Roman"/>
                <w:b/>
                <w:bCs/>
                <w:color w:val="000000" w:themeColor="text1"/>
                <w:kern w:val="0"/>
                <w:sz w:val="20"/>
                <w:szCs w:val="20"/>
                <w:lang w:eastAsia="zh-CN"/>
                <w14:textFill>
                  <w14:solidFill>
                    <w14:schemeClr w14:val="tx1"/>
                  </w14:solidFill>
                </w14:textFill>
              </w:rPr>
              <w:t>）</w:t>
            </w:r>
          </w:p>
        </w:tc>
        <w:tc>
          <w:tcPr>
            <w:tcW w:w="709" w:type="dxa"/>
            <w:tcBorders>
              <w:top w:val="single" w:color="auto" w:sz="12" w:space="0"/>
              <w:left w:val="nil"/>
              <w:bottom w:val="single" w:color="auto" w:sz="4" w:space="0"/>
              <w:right w:val="single" w:color="auto" w:sz="4" w:space="0"/>
            </w:tcBorders>
            <w:noWrap w:val="0"/>
            <w:vAlign w:val="center"/>
          </w:tcPr>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危险</w:t>
            </w:r>
          </w:p>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等级</w:t>
            </w:r>
          </w:p>
        </w:tc>
        <w:tc>
          <w:tcPr>
            <w:tcW w:w="850" w:type="dxa"/>
            <w:tcBorders>
              <w:top w:val="single" w:color="auto" w:sz="12" w:space="0"/>
              <w:left w:val="nil"/>
              <w:bottom w:val="single" w:color="auto" w:sz="4" w:space="0"/>
              <w:right w:val="single" w:color="auto" w:sz="4" w:space="0"/>
            </w:tcBorders>
            <w:noWrap w:val="0"/>
            <w:vAlign w:val="center"/>
          </w:tcPr>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稳定</w:t>
            </w:r>
          </w:p>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程度</w:t>
            </w:r>
          </w:p>
        </w:tc>
        <w:tc>
          <w:tcPr>
            <w:tcW w:w="851" w:type="dxa"/>
            <w:tcBorders>
              <w:top w:val="single" w:color="auto" w:sz="12" w:space="0"/>
              <w:left w:val="nil"/>
              <w:bottom w:val="single" w:color="auto" w:sz="4" w:space="0"/>
              <w:right w:val="single" w:color="auto" w:sz="4" w:space="0"/>
            </w:tcBorders>
            <w:noWrap w:val="0"/>
            <w:vAlign w:val="center"/>
          </w:tcPr>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责任</w:t>
            </w:r>
          </w:p>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部门</w:t>
            </w:r>
          </w:p>
        </w:tc>
        <w:tc>
          <w:tcPr>
            <w:tcW w:w="709" w:type="dxa"/>
            <w:tcBorders>
              <w:top w:val="single" w:color="auto" w:sz="12" w:space="0"/>
              <w:left w:val="nil"/>
              <w:bottom w:val="single" w:color="auto" w:sz="4" w:space="0"/>
              <w:right w:val="single" w:color="auto" w:sz="4" w:space="0"/>
            </w:tcBorders>
            <w:noWrap w:val="0"/>
            <w:vAlign w:val="center"/>
          </w:tcPr>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防治</w:t>
            </w:r>
          </w:p>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时间</w:t>
            </w:r>
          </w:p>
        </w:tc>
        <w:tc>
          <w:tcPr>
            <w:tcW w:w="850" w:type="dxa"/>
            <w:tcBorders>
              <w:top w:val="single" w:color="auto" w:sz="12" w:space="0"/>
              <w:left w:val="nil"/>
              <w:bottom w:val="single" w:color="auto" w:sz="4" w:space="0"/>
              <w:right w:val="single" w:color="auto" w:sz="8" w:space="0"/>
            </w:tcBorders>
            <w:noWrap w:val="0"/>
            <w:vAlign w:val="center"/>
          </w:tcPr>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防治</w:t>
            </w:r>
          </w:p>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eastAsia="仿宋_GB2312" w:cs="Times New Roman"/>
                <w:b/>
                <w:bCs/>
                <w:color w:val="000000" w:themeColor="text1"/>
                <w:kern w:val="0"/>
                <w:sz w:val="20"/>
                <w:szCs w:val="20"/>
                <w14:textFill>
                  <w14:solidFill>
                    <w14:schemeClr w14:val="tx1"/>
                  </w14:solidFill>
                </w14:textFill>
              </w:rPr>
              <w:t>经费</w:t>
            </w:r>
          </w:p>
          <w:p>
            <w:pPr>
              <w:widowControl/>
              <w:spacing w:line="240" w:lineRule="exact"/>
              <w:jc w:val="both"/>
              <w:rPr>
                <w:rFonts w:hint="default" w:ascii="Times New Roman" w:hAnsi="Times New Roman" w:eastAsia="仿宋_GB2312" w:cs="Times New Roman"/>
                <w:b/>
                <w:bCs/>
                <w:color w:val="000000" w:themeColor="text1"/>
                <w:kern w:val="0"/>
                <w:sz w:val="20"/>
                <w:szCs w:val="20"/>
                <w14:textFill>
                  <w14:solidFill>
                    <w14:schemeClr w14:val="tx1"/>
                  </w14:solidFill>
                </w14:textFill>
              </w:rPr>
            </w:pPr>
            <w:r>
              <w:rPr>
                <w:rFonts w:hint="default" w:ascii="Times New Roman" w:hAnsi="Times New Roman" w:cs="Times New Roman"/>
                <w:b/>
                <w:bCs/>
                <w:color w:val="000000" w:themeColor="text1"/>
                <w:kern w:val="0"/>
                <w:sz w:val="20"/>
                <w:szCs w:val="20"/>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0"/>
                <w:szCs w:val="20"/>
                <w14:textFill>
                  <w14:solidFill>
                    <w14:schemeClr w14:val="tx1"/>
                  </w14:solidFill>
                </w14:textFill>
              </w:rPr>
              <w:t>万元</w:t>
            </w:r>
            <w:r>
              <w:rPr>
                <w:rFonts w:hint="default" w:ascii="Times New Roman" w:hAnsi="Times New Roman" w:cs="Times New Roman"/>
                <w:b/>
                <w:bCs/>
                <w:color w:val="000000" w:themeColor="text1"/>
                <w:kern w:val="0"/>
                <w:sz w:val="20"/>
                <w:szCs w:val="20"/>
                <w:lang w:eastAsia="zh-CN"/>
                <w14:textFill>
                  <w14:solidFill>
                    <w14:schemeClr w14:val="tx1"/>
                  </w14:solidFill>
                </w14:textFill>
              </w:rPr>
              <w:t>）</w:t>
            </w:r>
          </w:p>
        </w:tc>
      </w:tr>
      <w:tr>
        <w:tblPrEx>
          <w:tblLayout w:type="fixed"/>
          <w:tblCellMar>
            <w:top w:w="0" w:type="dxa"/>
            <w:left w:w="108" w:type="dxa"/>
            <w:bottom w:w="0" w:type="dxa"/>
            <w:right w:w="108" w:type="dxa"/>
          </w:tblCellMar>
        </w:tblPrEx>
        <w:trPr>
          <w:trHeight w:val="827"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341722010043</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ST1043</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仁里镇</w:t>
            </w:r>
          </w:p>
        </w:tc>
        <w:tc>
          <w:tcPr>
            <w:tcW w:w="1095"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金钱山社区坑口组</w:t>
            </w:r>
          </w:p>
        </w:tc>
        <w:tc>
          <w:tcPr>
            <w:tcW w:w="2843" w:type="dxa"/>
            <w:tcBorders>
              <w:top w:val="nil"/>
              <w:left w:val="nil"/>
              <w:bottom w:val="single" w:color="auto" w:sz="4" w:space="0"/>
              <w:right w:val="single" w:color="auto" w:sz="4" w:space="0"/>
            </w:tcBorders>
            <w:noWrap w:val="0"/>
            <w:vAlign w:val="center"/>
          </w:tcPr>
          <w:p>
            <w:pPr>
              <w:spacing w:line="240" w:lineRule="exact"/>
              <w:ind w:firstLine="360" w:firstLineChars="200"/>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金钱山社区公路滑坡（G237线814k+300m-816k+100m）</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滑坡</w:t>
            </w:r>
          </w:p>
        </w:tc>
        <w:tc>
          <w:tcPr>
            <w:tcW w:w="426"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车辆</w:t>
            </w:r>
          </w:p>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行人</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县公</w:t>
            </w:r>
          </w:p>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路局</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2022</w:t>
            </w:r>
          </w:p>
        </w:tc>
        <w:tc>
          <w:tcPr>
            <w:tcW w:w="850"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1300</w:t>
            </w:r>
          </w:p>
        </w:tc>
      </w:tr>
      <w:tr>
        <w:tblPrEx>
          <w:tblLayout w:type="fixed"/>
          <w:tblCellMar>
            <w:top w:w="0" w:type="dxa"/>
            <w:left w:w="108" w:type="dxa"/>
            <w:bottom w:w="0" w:type="dxa"/>
            <w:right w:w="108" w:type="dxa"/>
          </w:tblCellMar>
        </w:tblPrEx>
        <w:trPr>
          <w:trHeight w:val="1090"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341722020151</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ST2151</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仁里镇</w:t>
            </w:r>
          </w:p>
        </w:tc>
        <w:tc>
          <w:tcPr>
            <w:tcW w:w="1095"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城南社区老街组</w:t>
            </w:r>
            <w:r>
              <w:rPr>
                <w:rFonts w:hint="default" w:ascii="Times New Roman" w:hAnsi="Times New Roman" w:cs="Times New Roman"/>
                <w:color w:val="000000" w:themeColor="text1"/>
                <w:sz w:val="20"/>
                <w:szCs w:val="20"/>
                <w:lang w:eastAsia="zh-CN"/>
                <w14:textFill>
                  <w14:solidFill>
                    <w14:schemeClr w14:val="tx1"/>
                  </w14:solidFill>
                </w14:textFill>
              </w:rPr>
              <w:t>－</w:t>
            </w:r>
            <w:r>
              <w:rPr>
                <w:rFonts w:hint="default" w:ascii="Times New Roman" w:hAnsi="Times New Roman" w:eastAsia="仿宋_GB2312" w:cs="Times New Roman"/>
                <w:color w:val="000000" w:themeColor="text1"/>
                <w:sz w:val="20"/>
                <w:szCs w:val="20"/>
                <w14:textFill>
                  <w14:solidFill>
                    <w14:schemeClr w14:val="tx1"/>
                  </w14:solidFill>
                </w14:textFill>
              </w:rPr>
              <w:t>同心村望仙组</w:t>
            </w:r>
          </w:p>
        </w:tc>
        <w:tc>
          <w:tcPr>
            <w:tcW w:w="2843"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城西伏虎河桥至县定点屠宰场公路崩塌（原S325线5K+000m-74K+300m共4段）（G530线）</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崩塌</w:t>
            </w:r>
          </w:p>
        </w:tc>
        <w:tc>
          <w:tcPr>
            <w:tcW w:w="426"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车辆</w:t>
            </w:r>
          </w:p>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行人</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县住建局（县行政执法局）</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2021</w:t>
            </w:r>
          </w:p>
        </w:tc>
        <w:tc>
          <w:tcPr>
            <w:tcW w:w="850"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280</w:t>
            </w:r>
          </w:p>
        </w:tc>
      </w:tr>
      <w:tr>
        <w:tblPrEx>
          <w:tblLayout w:type="fixed"/>
          <w:tblCellMar>
            <w:top w:w="0" w:type="dxa"/>
            <w:left w:w="108" w:type="dxa"/>
            <w:bottom w:w="0" w:type="dxa"/>
            <w:right w:w="108" w:type="dxa"/>
          </w:tblCellMar>
        </w:tblPrEx>
        <w:trPr>
          <w:trHeight w:val="610"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341722020155</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ST2156</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仙寓镇</w:t>
            </w:r>
          </w:p>
        </w:tc>
        <w:tc>
          <w:tcPr>
            <w:tcW w:w="1095"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莲花村中屋组</w:t>
            </w:r>
          </w:p>
        </w:tc>
        <w:tc>
          <w:tcPr>
            <w:tcW w:w="2843"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莲花村中屋组潜在崩塌</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崩塌</w:t>
            </w:r>
          </w:p>
        </w:tc>
        <w:tc>
          <w:tcPr>
            <w:tcW w:w="426"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12</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60</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150</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镇政府</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2022</w:t>
            </w:r>
          </w:p>
        </w:tc>
        <w:tc>
          <w:tcPr>
            <w:tcW w:w="850"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40</w:t>
            </w:r>
          </w:p>
        </w:tc>
      </w:tr>
      <w:tr>
        <w:tblPrEx>
          <w:tblLayout w:type="fixed"/>
          <w:tblCellMar>
            <w:top w:w="0" w:type="dxa"/>
            <w:left w:w="108" w:type="dxa"/>
            <w:bottom w:w="0" w:type="dxa"/>
            <w:right w:w="108" w:type="dxa"/>
          </w:tblCellMar>
        </w:tblPrEx>
        <w:trPr>
          <w:trHeight w:val="615" w:hRule="exact"/>
        </w:trPr>
        <w:tc>
          <w:tcPr>
            <w:tcW w:w="1502" w:type="dxa"/>
            <w:tcBorders>
              <w:top w:val="single" w:color="auto" w:sz="4" w:space="0"/>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341722010161</w:t>
            </w:r>
          </w:p>
        </w:tc>
        <w:tc>
          <w:tcPr>
            <w:tcW w:w="885" w:type="dxa"/>
            <w:tcBorders>
              <w:top w:val="single" w:color="auto" w:sz="4" w:space="0"/>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ST1161</w:t>
            </w:r>
          </w:p>
        </w:tc>
        <w:tc>
          <w:tcPr>
            <w:tcW w:w="900" w:type="dxa"/>
            <w:tcBorders>
              <w:top w:val="single" w:color="auto" w:sz="4" w:space="0"/>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大演乡</w:t>
            </w:r>
          </w:p>
        </w:tc>
        <w:tc>
          <w:tcPr>
            <w:tcW w:w="1095"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剡溪村秧田组</w:t>
            </w:r>
          </w:p>
        </w:tc>
        <w:tc>
          <w:tcPr>
            <w:tcW w:w="2843"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剡溪村秧田组陈召红等户屋后滑坡</w:t>
            </w:r>
          </w:p>
        </w:tc>
        <w:tc>
          <w:tcPr>
            <w:tcW w:w="708"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滑坡</w:t>
            </w:r>
          </w:p>
        </w:tc>
        <w:tc>
          <w:tcPr>
            <w:tcW w:w="426"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 xml:space="preserve">3 </w:t>
            </w:r>
          </w:p>
        </w:tc>
        <w:tc>
          <w:tcPr>
            <w:tcW w:w="708"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 xml:space="preserve">10 </w:t>
            </w:r>
          </w:p>
        </w:tc>
        <w:tc>
          <w:tcPr>
            <w:tcW w:w="709"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 xml:space="preserve">35 </w:t>
            </w:r>
          </w:p>
        </w:tc>
        <w:tc>
          <w:tcPr>
            <w:tcW w:w="709"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镇政府</w:t>
            </w:r>
          </w:p>
        </w:tc>
        <w:tc>
          <w:tcPr>
            <w:tcW w:w="709" w:type="dxa"/>
            <w:tcBorders>
              <w:top w:val="single" w:color="auto" w:sz="4" w:space="0"/>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2022</w:t>
            </w:r>
          </w:p>
        </w:tc>
        <w:tc>
          <w:tcPr>
            <w:tcW w:w="850" w:type="dxa"/>
            <w:tcBorders>
              <w:top w:val="single" w:color="auto" w:sz="4" w:space="0"/>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w:t>
            </w:r>
          </w:p>
        </w:tc>
      </w:tr>
      <w:tr>
        <w:tblPrEx>
          <w:tblLayout w:type="fixed"/>
          <w:tblCellMar>
            <w:top w:w="0" w:type="dxa"/>
            <w:left w:w="108" w:type="dxa"/>
            <w:bottom w:w="0" w:type="dxa"/>
            <w:right w:w="108" w:type="dxa"/>
          </w:tblCellMar>
        </w:tblPrEx>
        <w:trPr>
          <w:trHeight w:val="680"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341722030044</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ST3044</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大演乡</w:t>
            </w:r>
          </w:p>
        </w:tc>
        <w:tc>
          <w:tcPr>
            <w:tcW w:w="1095"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新唐村二组</w:t>
            </w:r>
          </w:p>
        </w:tc>
        <w:tc>
          <w:tcPr>
            <w:tcW w:w="2843"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新唐村二组唐辉户屋后潜在泥石流</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泥石流</w:t>
            </w:r>
          </w:p>
        </w:tc>
        <w:tc>
          <w:tcPr>
            <w:tcW w:w="426"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9</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35</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镇政府</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2024</w:t>
            </w:r>
          </w:p>
        </w:tc>
        <w:tc>
          <w:tcPr>
            <w:tcW w:w="850"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100</w:t>
            </w:r>
          </w:p>
        </w:tc>
      </w:tr>
      <w:tr>
        <w:tblPrEx>
          <w:tblLayout w:type="fixed"/>
          <w:tblCellMar>
            <w:top w:w="0" w:type="dxa"/>
            <w:left w:w="108" w:type="dxa"/>
            <w:bottom w:w="0" w:type="dxa"/>
            <w:right w:w="108" w:type="dxa"/>
          </w:tblCellMar>
        </w:tblPrEx>
        <w:trPr>
          <w:trHeight w:val="680"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341722010155</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ST1151</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丁香镇</w:t>
            </w:r>
          </w:p>
        </w:tc>
        <w:tc>
          <w:tcPr>
            <w:tcW w:w="1095"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红桃村马石组</w:t>
            </w:r>
          </w:p>
        </w:tc>
        <w:tc>
          <w:tcPr>
            <w:tcW w:w="2843"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红桃村马石组滑坡</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滑坡</w:t>
            </w:r>
          </w:p>
        </w:tc>
        <w:tc>
          <w:tcPr>
            <w:tcW w:w="426"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5</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镇政府</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2022</w:t>
            </w:r>
          </w:p>
        </w:tc>
        <w:tc>
          <w:tcPr>
            <w:tcW w:w="850"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250</w:t>
            </w:r>
          </w:p>
        </w:tc>
      </w:tr>
      <w:tr>
        <w:tblPrEx>
          <w:tblLayout w:type="fixed"/>
          <w:tblCellMar>
            <w:top w:w="0" w:type="dxa"/>
            <w:left w:w="108" w:type="dxa"/>
            <w:bottom w:w="0" w:type="dxa"/>
            <w:right w:w="108" w:type="dxa"/>
          </w:tblCellMar>
        </w:tblPrEx>
        <w:trPr>
          <w:trHeight w:val="680"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341722010008</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ST1008</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七都镇</w:t>
            </w:r>
          </w:p>
        </w:tc>
        <w:tc>
          <w:tcPr>
            <w:tcW w:w="1095"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新棚村</w:t>
            </w:r>
            <w:r>
              <w:rPr>
                <w:rFonts w:hint="default" w:ascii="Times New Roman" w:hAnsi="Times New Roman" w:eastAsia="仿宋_GB2312" w:cs="Times New Roman"/>
                <w:color w:val="000000" w:themeColor="text1"/>
                <w:sz w:val="20"/>
                <w:szCs w:val="20"/>
                <w14:textFill>
                  <w14:solidFill>
                    <w14:schemeClr w14:val="tx1"/>
                  </w14:solidFill>
                </w14:textFill>
              </w:rPr>
              <w:br w:type="textWrapping"/>
            </w:r>
            <w:r>
              <w:rPr>
                <w:rFonts w:hint="default" w:ascii="Times New Roman" w:hAnsi="Times New Roman" w:eastAsia="仿宋_GB2312" w:cs="Times New Roman"/>
                <w:color w:val="000000" w:themeColor="text1"/>
                <w:sz w:val="20"/>
                <w:szCs w:val="20"/>
                <w14:textFill>
                  <w14:solidFill>
                    <w14:schemeClr w14:val="tx1"/>
                  </w14:solidFill>
                </w14:textFill>
              </w:rPr>
              <w:t>杨梅坞</w:t>
            </w:r>
          </w:p>
        </w:tc>
        <w:tc>
          <w:tcPr>
            <w:tcW w:w="2843" w:type="dxa"/>
            <w:tcBorders>
              <w:top w:val="nil"/>
              <w:left w:val="nil"/>
              <w:bottom w:val="single" w:color="auto" w:sz="4" w:space="0"/>
              <w:right w:val="single" w:color="auto" w:sz="4" w:space="0"/>
            </w:tcBorders>
            <w:noWrap w:val="0"/>
            <w:vAlign w:val="center"/>
          </w:tcPr>
          <w:p>
            <w:pPr>
              <w:spacing w:line="240" w:lineRule="exact"/>
              <w:ind w:firstLine="360" w:firstLineChars="200"/>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新棚村</w:t>
            </w:r>
          </w:p>
          <w:p>
            <w:pPr>
              <w:spacing w:line="240" w:lineRule="exact"/>
              <w:ind w:firstLine="360" w:firstLineChars="200"/>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杨梅坞滑坡</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滑坡</w:t>
            </w:r>
          </w:p>
        </w:tc>
        <w:tc>
          <w:tcPr>
            <w:tcW w:w="426"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8</w:t>
            </w:r>
          </w:p>
        </w:tc>
        <w:tc>
          <w:tcPr>
            <w:tcW w:w="708"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18</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180</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镇政府</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2024</w:t>
            </w:r>
          </w:p>
        </w:tc>
        <w:tc>
          <w:tcPr>
            <w:tcW w:w="850"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300</w:t>
            </w:r>
          </w:p>
        </w:tc>
      </w:tr>
      <w:tr>
        <w:tblPrEx>
          <w:tblLayout w:type="fixed"/>
          <w:tblCellMar>
            <w:top w:w="0" w:type="dxa"/>
            <w:left w:w="108" w:type="dxa"/>
            <w:bottom w:w="0" w:type="dxa"/>
            <w:right w:w="108" w:type="dxa"/>
          </w:tblCellMar>
        </w:tblPrEx>
        <w:trPr>
          <w:trHeight w:val="680" w:hRule="exact"/>
        </w:trPr>
        <w:tc>
          <w:tcPr>
            <w:tcW w:w="1502" w:type="dxa"/>
            <w:tcBorders>
              <w:top w:val="nil"/>
              <w:left w:val="single" w:color="auto" w:sz="8"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341722020159</w:t>
            </w:r>
          </w:p>
        </w:tc>
        <w:tc>
          <w:tcPr>
            <w:tcW w:w="88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ST2159</w:t>
            </w:r>
          </w:p>
        </w:tc>
        <w:tc>
          <w:tcPr>
            <w:tcW w:w="900" w:type="dxa"/>
            <w:tcBorders>
              <w:top w:val="nil"/>
              <w:left w:val="single" w:color="auto" w:sz="4" w:space="0"/>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横渡镇</w:t>
            </w:r>
          </w:p>
        </w:tc>
        <w:tc>
          <w:tcPr>
            <w:tcW w:w="1095"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历坝村上林山组</w:t>
            </w:r>
          </w:p>
        </w:tc>
        <w:tc>
          <w:tcPr>
            <w:tcW w:w="2843"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18"/>
                <w:szCs w:val="18"/>
                <w14:textFill>
                  <w14:solidFill>
                    <w14:schemeClr w14:val="tx1"/>
                  </w14:solidFill>
                </w14:textFill>
              </w:rPr>
            </w:pPr>
            <w:r>
              <w:rPr>
                <w:rFonts w:hint="default" w:ascii="Times New Roman" w:hAnsi="Times New Roman" w:eastAsia="仿宋_GB2312" w:cs="Times New Roman"/>
                <w:color w:val="000000" w:themeColor="text1"/>
                <w:sz w:val="18"/>
                <w:szCs w:val="18"/>
                <w14:textFill>
                  <w14:solidFill>
                    <w14:schemeClr w14:val="tx1"/>
                  </w14:solidFill>
                </w14:textFill>
              </w:rPr>
              <w:t>舒才旺屋后滑坡</w:t>
            </w:r>
          </w:p>
        </w:tc>
        <w:tc>
          <w:tcPr>
            <w:tcW w:w="708"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滑坡</w:t>
            </w:r>
          </w:p>
        </w:tc>
        <w:tc>
          <w:tcPr>
            <w:tcW w:w="426"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4</w:t>
            </w:r>
          </w:p>
        </w:tc>
        <w:tc>
          <w:tcPr>
            <w:tcW w:w="708"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19</w:t>
            </w:r>
          </w:p>
        </w:tc>
        <w:tc>
          <w:tcPr>
            <w:tcW w:w="709"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90</w:t>
            </w:r>
          </w:p>
        </w:tc>
        <w:tc>
          <w:tcPr>
            <w:tcW w:w="709"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小型</w:t>
            </w:r>
          </w:p>
        </w:tc>
        <w:tc>
          <w:tcPr>
            <w:tcW w:w="850"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不稳定</w:t>
            </w:r>
          </w:p>
        </w:tc>
        <w:tc>
          <w:tcPr>
            <w:tcW w:w="851"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镇政府</w:t>
            </w:r>
          </w:p>
        </w:tc>
        <w:tc>
          <w:tcPr>
            <w:tcW w:w="709" w:type="dxa"/>
            <w:tcBorders>
              <w:top w:val="nil"/>
              <w:left w:val="nil"/>
              <w:bottom w:val="single" w:color="auto" w:sz="4"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2025</w:t>
            </w:r>
          </w:p>
        </w:tc>
        <w:tc>
          <w:tcPr>
            <w:tcW w:w="850" w:type="dxa"/>
            <w:tcBorders>
              <w:top w:val="nil"/>
              <w:left w:val="nil"/>
              <w:bottom w:val="single" w:color="auto" w:sz="4" w:space="0"/>
              <w:right w:val="single" w:color="auto" w:sz="8"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150</w:t>
            </w:r>
          </w:p>
        </w:tc>
      </w:tr>
      <w:tr>
        <w:tblPrEx>
          <w:tblLayout w:type="fixed"/>
          <w:tblCellMar>
            <w:top w:w="0" w:type="dxa"/>
            <w:left w:w="108" w:type="dxa"/>
            <w:bottom w:w="0" w:type="dxa"/>
            <w:right w:w="108" w:type="dxa"/>
          </w:tblCellMar>
        </w:tblPrEx>
        <w:trPr>
          <w:trHeight w:val="454" w:hRule="exact"/>
        </w:trPr>
        <w:tc>
          <w:tcPr>
            <w:tcW w:w="2387" w:type="dxa"/>
            <w:gridSpan w:val="2"/>
            <w:tcBorders>
              <w:top w:val="nil"/>
              <w:left w:val="single" w:color="auto" w:sz="8" w:space="0"/>
              <w:bottom w:val="single" w:color="auto" w:sz="8"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合计</w:t>
            </w:r>
          </w:p>
        </w:tc>
        <w:tc>
          <w:tcPr>
            <w:tcW w:w="900" w:type="dxa"/>
            <w:tcBorders>
              <w:top w:val="nil"/>
              <w:left w:val="single" w:color="auto" w:sz="4" w:space="0"/>
              <w:bottom w:val="single" w:color="auto" w:sz="8" w:space="0"/>
              <w:right w:val="single" w:color="auto" w:sz="4" w:space="0"/>
            </w:tcBorders>
            <w:noWrap w:val="0"/>
            <w:vAlign w:val="center"/>
          </w:tcPr>
          <w:p>
            <w:pPr>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1095"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2843"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708"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426"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30</w:t>
            </w:r>
          </w:p>
        </w:tc>
        <w:tc>
          <w:tcPr>
            <w:tcW w:w="708"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118</w:t>
            </w:r>
          </w:p>
        </w:tc>
        <w:tc>
          <w:tcPr>
            <w:tcW w:w="709"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495</w:t>
            </w:r>
          </w:p>
        </w:tc>
        <w:tc>
          <w:tcPr>
            <w:tcW w:w="709"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850"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851"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709" w:type="dxa"/>
            <w:tcBorders>
              <w:top w:val="nil"/>
              <w:left w:val="nil"/>
              <w:bottom w:val="single" w:color="auto" w:sz="8"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p>
        </w:tc>
        <w:tc>
          <w:tcPr>
            <w:tcW w:w="850" w:type="dxa"/>
            <w:tcBorders>
              <w:top w:val="nil"/>
              <w:left w:val="nil"/>
              <w:bottom w:val="single" w:color="auto" w:sz="8"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0"/>
                <w:szCs w:val="20"/>
                <w14:textFill>
                  <w14:solidFill>
                    <w14:schemeClr w14:val="tx1"/>
                  </w14:solidFill>
                </w14:textFill>
              </w:rPr>
            </w:pPr>
            <w:r>
              <w:rPr>
                <w:rFonts w:hint="default" w:ascii="Times New Roman" w:hAnsi="Times New Roman" w:eastAsia="仿宋_GB2312" w:cs="Times New Roman"/>
                <w:color w:val="000000" w:themeColor="text1"/>
                <w:sz w:val="20"/>
                <w:szCs w:val="20"/>
                <w14:textFill>
                  <w14:solidFill>
                    <w14:schemeClr w14:val="tx1"/>
                  </w14:solidFill>
                </w14:textFill>
              </w:rPr>
              <w:t>2440</w:t>
            </w:r>
          </w:p>
        </w:tc>
      </w:tr>
    </w:tbl>
    <w:p>
      <w:pPr>
        <w:spacing w:line="560" w:lineRule="exact"/>
        <w:rPr>
          <w:rFonts w:hint="default" w:ascii="Times New Roman" w:hAnsi="Times New Roman" w:cs="Times New Roman"/>
          <w:color w:val="000000" w:themeColor="text1"/>
          <w:spacing w:val="2"/>
          <w:sz w:val="24"/>
          <w14:textFill>
            <w14:solidFill>
              <w14:schemeClr w14:val="tx1"/>
            </w14:solidFill>
          </w14:textFill>
        </w:rPr>
        <w:sectPr>
          <w:footerReference r:id="rId8" w:type="default"/>
          <w:pgSz w:w="16838" w:h="11906" w:orient="landscape"/>
          <w:pgMar w:top="1701" w:right="1588" w:bottom="1701" w:left="1701" w:header="851" w:footer="992" w:gutter="0"/>
          <w:pgNumType w:fmt="decimal" w:start="34"/>
          <w:cols w:space="720" w:num="1"/>
          <w:docGrid w:type="linesAndChars" w:linePitch="314" w:charSpace="0"/>
        </w:sectPr>
      </w:pPr>
    </w:p>
    <w:p>
      <w:pPr>
        <w:spacing w:line="560" w:lineRule="exact"/>
        <w:rPr>
          <w:rFonts w:hint="default" w:ascii="Times New Roman" w:hAnsi="Times New Roman" w:eastAsia="仿宋_GB2312" w:cs="Times New Roman"/>
          <w:b/>
          <w:bCs/>
          <w:color w:val="000000" w:themeColor="text1"/>
          <w:spacing w:val="2"/>
          <w:sz w:val="32"/>
          <w:szCs w:val="32"/>
          <w14:textFill>
            <w14:solidFill>
              <w14:schemeClr w14:val="tx1"/>
            </w14:solidFill>
          </w14:textFill>
        </w:rPr>
      </w:pPr>
      <w:r>
        <w:rPr>
          <w:rFonts w:hint="default" w:ascii="Times New Roman" w:hAnsi="Times New Roman" w:eastAsia="黑体" w:cs="Times New Roman"/>
          <w:b w:val="0"/>
          <w:bCs w:val="0"/>
          <w:color w:val="000000" w:themeColor="text1"/>
          <w:spacing w:val="2"/>
          <w:sz w:val="32"/>
          <w:szCs w:val="32"/>
          <w:lang w:eastAsia="zh-CN"/>
          <w14:textFill>
            <w14:solidFill>
              <w14:schemeClr w14:val="tx1"/>
            </w14:solidFill>
          </w14:textFill>
        </w:rPr>
        <w:t>附件7</w:t>
      </w:r>
      <w:r>
        <w:rPr>
          <w:rFonts w:hint="default" w:ascii="Times New Roman" w:hAnsi="Times New Roman" w:eastAsia="仿宋_GB2312" w:cs="Times New Roman"/>
          <w:b/>
          <w:bCs/>
          <w:color w:val="000000" w:themeColor="text1"/>
          <w:spacing w:val="2"/>
          <w:sz w:val="32"/>
          <w:szCs w:val="32"/>
          <w14:textFill>
            <w14:solidFill>
              <w14:schemeClr w14:val="tx1"/>
            </w14:solidFill>
          </w14:textFill>
        </w:rPr>
        <w:t xml:space="preserve">                   </w:t>
      </w:r>
    </w:p>
    <w:p>
      <w:pPr>
        <w:spacing w:line="560" w:lineRule="exact"/>
        <w:ind w:firstLine="808" w:firstLineChars="200"/>
        <w:jc w:val="cente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pPr>
      <w:r>
        <w:rPr>
          <w:rFonts w:hint="eastAsia" w:ascii="方正小标宋_GBK" w:hAnsi="方正小标宋_GBK" w:eastAsia="方正小标宋_GBK" w:cs="方正小标宋_GBK"/>
          <w:b w:val="0"/>
          <w:bCs w:val="0"/>
          <w:color w:val="000000" w:themeColor="text1"/>
          <w:spacing w:val="2"/>
          <w:sz w:val="40"/>
          <w:szCs w:val="40"/>
          <w14:textFill>
            <w14:solidFill>
              <w14:schemeClr w14:val="tx1"/>
            </w14:solidFill>
          </w14:textFill>
        </w:rPr>
        <w:t>石台县地质灾害隐患点群测群防一览表（30处）</w:t>
      </w:r>
    </w:p>
    <w:tbl>
      <w:tblPr>
        <w:tblStyle w:val="9"/>
        <w:tblW w:w="13907" w:type="dxa"/>
        <w:tblInd w:w="93" w:type="dxa"/>
        <w:tblLayout w:type="fixed"/>
        <w:tblCellMar>
          <w:top w:w="0" w:type="dxa"/>
          <w:left w:w="108" w:type="dxa"/>
          <w:bottom w:w="0" w:type="dxa"/>
          <w:right w:w="108" w:type="dxa"/>
        </w:tblCellMar>
      </w:tblPr>
      <w:tblGrid>
        <w:gridCol w:w="1716"/>
        <w:gridCol w:w="851"/>
        <w:gridCol w:w="851"/>
        <w:gridCol w:w="1843"/>
        <w:gridCol w:w="2834"/>
        <w:gridCol w:w="851"/>
        <w:gridCol w:w="708"/>
        <w:gridCol w:w="709"/>
        <w:gridCol w:w="851"/>
        <w:gridCol w:w="708"/>
        <w:gridCol w:w="851"/>
        <w:gridCol w:w="1134"/>
      </w:tblGrid>
      <w:tr>
        <w:tblPrEx>
          <w:tblLayout w:type="fixed"/>
          <w:tblCellMar>
            <w:top w:w="0" w:type="dxa"/>
            <w:left w:w="108" w:type="dxa"/>
            <w:bottom w:w="0" w:type="dxa"/>
            <w:right w:w="108" w:type="dxa"/>
          </w:tblCellMar>
        </w:tblPrEx>
        <w:trPr>
          <w:trHeight w:val="680" w:hRule="exact"/>
        </w:trPr>
        <w:tc>
          <w:tcPr>
            <w:tcW w:w="1716" w:type="dxa"/>
            <w:tcBorders>
              <w:top w:val="single" w:color="auto" w:sz="12" w:space="0"/>
              <w:left w:val="single" w:color="auto" w:sz="8" w:space="0"/>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统一编号</w:t>
            </w:r>
          </w:p>
        </w:tc>
        <w:tc>
          <w:tcPr>
            <w:tcW w:w="851" w:type="dxa"/>
            <w:tcBorders>
              <w:top w:val="single" w:color="auto" w:sz="12" w:space="0"/>
              <w:left w:val="nil"/>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编号</w:t>
            </w:r>
          </w:p>
        </w:tc>
        <w:tc>
          <w:tcPr>
            <w:tcW w:w="851" w:type="dxa"/>
            <w:tcBorders>
              <w:top w:val="single" w:color="auto" w:sz="12" w:space="0"/>
              <w:left w:val="single" w:color="auto" w:sz="4" w:space="0"/>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乡（镇）</w:t>
            </w:r>
          </w:p>
        </w:tc>
        <w:tc>
          <w:tcPr>
            <w:tcW w:w="1843" w:type="dxa"/>
            <w:tcBorders>
              <w:top w:val="single" w:color="auto" w:sz="12" w:space="0"/>
              <w:left w:val="nil"/>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村、组</w:t>
            </w:r>
          </w:p>
        </w:tc>
        <w:tc>
          <w:tcPr>
            <w:tcW w:w="2834" w:type="dxa"/>
            <w:tcBorders>
              <w:top w:val="single" w:color="auto" w:sz="12" w:space="0"/>
              <w:left w:val="nil"/>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名称</w:t>
            </w:r>
          </w:p>
        </w:tc>
        <w:tc>
          <w:tcPr>
            <w:tcW w:w="851" w:type="dxa"/>
            <w:tcBorders>
              <w:top w:val="single" w:color="auto" w:sz="12" w:space="0"/>
              <w:left w:val="nil"/>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灾种</w:t>
            </w:r>
          </w:p>
        </w:tc>
        <w:tc>
          <w:tcPr>
            <w:tcW w:w="708" w:type="dxa"/>
            <w:tcBorders>
              <w:top w:val="single" w:color="auto" w:sz="12" w:space="0"/>
              <w:left w:val="nil"/>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户</w:t>
            </w:r>
          </w:p>
        </w:tc>
        <w:tc>
          <w:tcPr>
            <w:tcW w:w="709" w:type="dxa"/>
            <w:tcBorders>
              <w:top w:val="single" w:color="auto" w:sz="12" w:space="0"/>
              <w:left w:val="nil"/>
              <w:bottom w:val="single" w:color="auto" w:sz="4" w:space="0"/>
              <w:right w:val="single" w:color="auto" w:sz="4" w:space="0"/>
            </w:tcBorders>
            <w:noWrap w:val="0"/>
            <w:vAlign w:val="center"/>
          </w:tcPr>
          <w:p>
            <w:pPr>
              <w:widowControl/>
              <w:spacing w:line="320" w:lineRule="exact"/>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人</w:t>
            </w:r>
          </w:p>
        </w:tc>
        <w:tc>
          <w:tcPr>
            <w:tcW w:w="851" w:type="dxa"/>
            <w:tcBorders>
              <w:top w:val="single" w:color="auto" w:sz="12" w:space="0"/>
              <w:left w:val="nil"/>
              <w:bottom w:val="single" w:color="auto" w:sz="4" w:space="0"/>
              <w:right w:val="single" w:color="auto" w:sz="4" w:space="0"/>
            </w:tcBorders>
            <w:noWrap w:val="0"/>
            <w:vAlign w:val="center"/>
          </w:tcPr>
          <w:p>
            <w:pPr>
              <w:widowControl/>
              <w:spacing w:line="3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财产</w:t>
            </w:r>
          </w:p>
          <w:p>
            <w:pPr>
              <w:widowControl/>
              <w:spacing w:line="3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r>
              <w:rPr>
                <w:rFonts w:hint="default" w:ascii="Times New Roman" w:hAnsi="Times New Roman" w:eastAsia="仿宋_GB2312" w:cs="Times New Roman"/>
                <w:b/>
                <w:bCs/>
                <w:color w:val="000000" w:themeColor="text1"/>
                <w:kern w:val="0"/>
                <w:sz w:val="21"/>
                <w:szCs w:val="21"/>
                <w14:textFill>
                  <w14:solidFill>
                    <w14:schemeClr w14:val="tx1"/>
                  </w14:solidFill>
                </w14:textFill>
              </w:rPr>
              <w:t>万元</w:t>
            </w:r>
            <w:r>
              <w:rPr>
                <w:rFonts w:hint="default" w:ascii="Times New Roman" w:hAnsi="Times New Roman" w:cs="Times New Roman"/>
                <w:b/>
                <w:bCs/>
                <w:color w:val="000000" w:themeColor="text1"/>
                <w:kern w:val="0"/>
                <w:sz w:val="21"/>
                <w:szCs w:val="21"/>
                <w:lang w:eastAsia="zh-CN"/>
                <w14:textFill>
                  <w14:solidFill>
                    <w14:schemeClr w14:val="tx1"/>
                  </w14:solidFill>
                </w14:textFill>
              </w:rPr>
              <w:t>）</w:t>
            </w:r>
          </w:p>
        </w:tc>
        <w:tc>
          <w:tcPr>
            <w:tcW w:w="708" w:type="dxa"/>
            <w:tcBorders>
              <w:top w:val="single" w:color="auto" w:sz="12" w:space="0"/>
              <w:left w:val="nil"/>
              <w:bottom w:val="single" w:color="auto" w:sz="4" w:space="0"/>
              <w:right w:val="single" w:color="auto" w:sz="4" w:space="0"/>
            </w:tcBorders>
            <w:noWrap w:val="0"/>
            <w:vAlign w:val="center"/>
          </w:tcPr>
          <w:p>
            <w:pPr>
              <w:widowControl/>
              <w:spacing w:line="3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危险</w:t>
            </w:r>
          </w:p>
          <w:p>
            <w:pPr>
              <w:widowControl/>
              <w:spacing w:line="3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等级</w:t>
            </w:r>
          </w:p>
        </w:tc>
        <w:tc>
          <w:tcPr>
            <w:tcW w:w="851" w:type="dxa"/>
            <w:tcBorders>
              <w:top w:val="single" w:color="auto" w:sz="12" w:space="0"/>
              <w:left w:val="nil"/>
              <w:bottom w:val="single" w:color="auto" w:sz="4" w:space="0"/>
              <w:right w:val="single" w:color="auto" w:sz="4" w:space="0"/>
            </w:tcBorders>
            <w:noWrap w:val="0"/>
            <w:vAlign w:val="center"/>
          </w:tcPr>
          <w:p>
            <w:pPr>
              <w:widowControl/>
              <w:spacing w:line="3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稳定</w:t>
            </w:r>
          </w:p>
          <w:p>
            <w:pPr>
              <w:widowControl/>
              <w:spacing w:line="320" w:lineRule="exact"/>
              <w:jc w:val="both"/>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程度</w:t>
            </w:r>
          </w:p>
        </w:tc>
        <w:tc>
          <w:tcPr>
            <w:tcW w:w="1134" w:type="dxa"/>
            <w:tcBorders>
              <w:top w:val="single" w:color="auto" w:sz="12" w:space="0"/>
              <w:left w:val="nil"/>
              <w:bottom w:val="single" w:color="auto" w:sz="4" w:space="0"/>
              <w:right w:val="single" w:color="auto" w:sz="8" w:space="0"/>
            </w:tcBorders>
            <w:noWrap w:val="0"/>
            <w:vAlign w:val="center"/>
          </w:tcPr>
          <w:p>
            <w:pPr>
              <w:widowControl/>
              <w:spacing w:line="320" w:lineRule="exact"/>
              <w:ind w:firstLine="422"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责任</w:t>
            </w:r>
          </w:p>
          <w:p>
            <w:pPr>
              <w:widowControl/>
              <w:spacing w:line="320" w:lineRule="exact"/>
              <w:ind w:firstLine="422" w:firstLineChars="200"/>
              <w:jc w:val="center"/>
              <w:rPr>
                <w:rFonts w:hint="default" w:ascii="Times New Roman" w:hAnsi="Times New Roman" w:eastAsia="仿宋_GB2312" w:cs="Times New Roman"/>
                <w:b/>
                <w:bCs/>
                <w:color w:val="000000" w:themeColor="text1"/>
                <w:kern w:val="0"/>
                <w:sz w:val="21"/>
                <w:szCs w:val="21"/>
                <w14:textFill>
                  <w14:solidFill>
                    <w14:schemeClr w14:val="tx1"/>
                  </w14:solidFill>
                </w14:textFill>
              </w:rPr>
            </w:pPr>
            <w:r>
              <w:rPr>
                <w:rFonts w:hint="default" w:ascii="Times New Roman" w:hAnsi="Times New Roman" w:eastAsia="仿宋_GB2312" w:cs="Times New Roman"/>
                <w:b/>
                <w:bCs/>
                <w:color w:val="000000" w:themeColor="text1"/>
                <w:kern w:val="0"/>
                <w:sz w:val="21"/>
                <w:szCs w:val="21"/>
                <w14:textFill>
                  <w14:solidFill>
                    <w14:schemeClr w14:val="tx1"/>
                  </w14:solidFill>
                </w14:textFill>
              </w:rPr>
              <w:t>部门</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341722010151</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ST1151</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仁里镇</w:t>
            </w:r>
          </w:p>
        </w:tc>
        <w:tc>
          <w:tcPr>
            <w:tcW w:w="1843"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同心村林业组</w:t>
            </w:r>
          </w:p>
        </w:tc>
        <w:tc>
          <w:tcPr>
            <w:tcW w:w="2834"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林业组滑坡</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6</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仁里镇</w:t>
            </w:r>
          </w:p>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824" w:hRule="exact"/>
        </w:trPr>
        <w:tc>
          <w:tcPr>
            <w:tcW w:w="1716" w:type="dxa"/>
            <w:tcBorders>
              <w:top w:val="nil"/>
              <w:left w:val="single" w:color="auto" w:sz="8"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341722010043</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ST1043</w:t>
            </w:r>
          </w:p>
        </w:tc>
        <w:tc>
          <w:tcPr>
            <w:tcW w:w="851" w:type="dxa"/>
            <w:tcBorders>
              <w:top w:val="nil"/>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仁里镇</w:t>
            </w:r>
          </w:p>
        </w:tc>
        <w:tc>
          <w:tcPr>
            <w:tcW w:w="1843"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金钱山社区坑口组</w:t>
            </w:r>
          </w:p>
        </w:tc>
        <w:tc>
          <w:tcPr>
            <w:tcW w:w="2834" w:type="dxa"/>
            <w:tcBorders>
              <w:top w:val="nil"/>
              <w:left w:val="nil"/>
              <w:bottom w:val="single" w:color="auto" w:sz="4" w:space="0"/>
              <w:right w:val="single" w:color="auto" w:sz="4" w:space="0"/>
            </w:tcBorders>
            <w:noWrap w:val="0"/>
            <w:vAlign w:val="center"/>
          </w:tcPr>
          <w:p>
            <w:pPr>
              <w:spacing w:line="240" w:lineRule="exact"/>
              <w:ind w:firstLine="400" w:firstLineChars="200"/>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金钱山社区公路滑坡</w:t>
            </w:r>
            <w:r>
              <w:rPr>
                <w:rFonts w:hint="default" w:ascii="Times New Roman" w:hAnsi="Times New Roman" w:cs="Times New Roman"/>
                <w:color w:val="000000" w:themeColor="text1"/>
                <w:sz w:val="20"/>
                <w:szCs w:val="20"/>
                <w:lang w:eastAsia="zh-CN"/>
                <w14:textFill>
                  <w14:solidFill>
                    <w14:schemeClr w14:val="tx1"/>
                  </w14:solidFill>
                </w14:textFill>
              </w:rPr>
              <w:t>（</w:t>
            </w:r>
            <w:r>
              <w:rPr>
                <w:rFonts w:hint="default" w:ascii="Times New Roman" w:hAnsi="Times New Roman" w:cs="Times New Roman"/>
                <w:color w:val="000000" w:themeColor="text1"/>
                <w:sz w:val="18"/>
                <w:szCs w:val="18"/>
                <w14:textFill>
                  <w14:solidFill>
                    <w14:schemeClr w14:val="tx1"/>
                  </w14:solidFill>
                </w14:textFill>
              </w:rPr>
              <w:t>G237线814k+300m-816k+100m</w:t>
            </w:r>
            <w:r>
              <w:rPr>
                <w:rFonts w:hint="default" w:ascii="Times New Roman" w:hAnsi="Times New Roman" w:cs="Times New Roman"/>
                <w:color w:val="000000" w:themeColor="text1"/>
                <w:sz w:val="20"/>
                <w:szCs w:val="20"/>
                <w:lang w:eastAsia="zh-CN"/>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车辆</w:t>
            </w:r>
          </w:p>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行人</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县公路</w:t>
            </w:r>
            <w:r>
              <w:rPr>
                <w:rFonts w:hint="default" w:ascii="Times New Roman" w:hAnsi="Times New Roman" w:cs="Times New Roman"/>
                <w:color w:val="000000" w:themeColor="text1"/>
                <w:sz w:val="20"/>
                <w:szCs w:val="20"/>
                <w:lang w:val="en-US" w:eastAsia="zh-CN"/>
                <w14:textFill>
                  <w14:solidFill>
                    <w14:schemeClr w14:val="tx1"/>
                  </w14:solidFill>
                </w14:textFill>
              </w:rPr>
              <w:t>分</w:t>
            </w:r>
            <w:r>
              <w:rPr>
                <w:rFonts w:hint="default" w:ascii="Times New Roman" w:hAnsi="Times New Roman" w:cs="Times New Roman"/>
                <w:color w:val="000000" w:themeColor="text1"/>
                <w:sz w:val="20"/>
                <w:szCs w:val="20"/>
                <w14:textFill>
                  <w14:solidFill>
                    <w14:schemeClr w14:val="tx1"/>
                  </w14:solidFill>
                </w14:textFill>
              </w:rPr>
              <w:t>局</w:t>
            </w:r>
          </w:p>
        </w:tc>
      </w:tr>
      <w:tr>
        <w:tblPrEx>
          <w:tblLayout w:type="fixed"/>
          <w:tblCellMar>
            <w:top w:w="0" w:type="dxa"/>
            <w:left w:w="108" w:type="dxa"/>
            <w:bottom w:w="0" w:type="dxa"/>
            <w:right w:w="108" w:type="dxa"/>
          </w:tblCellMar>
        </w:tblPrEx>
        <w:trPr>
          <w:trHeight w:val="1077" w:hRule="exact"/>
        </w:trPr>
        <w:tc>
          <w:tcPr>
            <w:tcW w:w="1716" w:type="dxa"/>
            <w:tcBorders>
              <w:top w:val="nil"/>
              <w:left w:val="single" w:color="auto" w:sz="8"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341722020151</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ST2151</w:t>
            </w:r>
          </w:p>
        </w:tc>
        <w:tc>
          <w:tcPr>
            <w:tcW w:w="851" w:type="dxa"/>
            <w:tcBorders>
              <w:top w:val="nil"/>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仁里镇</w:t>
            </w:r>
          </w:p>
        </w:tc>
        <w:tc>
          <w:tcPr>
            <w:tcW w:w="1843"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城南社区老街组</w:t>
            </w:r>
            <w:r>
              <w:rPr>
                <w:rFonts w:hint="default" w:ascii="Times New Roman" w:hAnsi="Times New Roman" w:cs="Times New Roman"/>
                <w:color w:val="000000" w:themeColor="text1"/>
                <w:sz w:val="20"/>
                <w:szCs w:val="20"/>
                <w:lang w:eastAsia="zh-CN"/>
                <w14:textFill>
                  <w14:solidFill>
                    <w14:schemeClr w14:val="tx1"/>
                  </w14:solidFill>
                </w14:textFill>
              </w:rPr>
              <w:t>－</w:t>
            </w:r>
            <w:r>
              <w:rPr>
                <w:rFonts w:hint="default" w:ascii="Times New Roman" w:hAnsi="Times New Roman" w:cs="Times New Roman"/>
                <w:color w:val="000000" w:themeColor="text1"/>
                <w:sz w:val="20"/>
                <w:szCs w:val="20"/>
                <w14:textFill>
                  <w14:solidFill>
                    <w14:schemeClr w14:val="tx1"/>
                  </w14:solidFill>
                </w14:textFill>
              </w:rPr>
              <w:t>同心村望仙组</w:t>
            </w:r>
          </w:p>
        </w:tc>
        <w:tc>
          <w:tcPr>
            <w:tcW w:w="2834"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城西伏虎河桥至县定点屠宰场公路崩塌（原S325线5K+000m-74K+300m共4段）（G530线）</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车辆</w:t>
            </w:r>
          </w:p>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行人</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县住建局（县行政执法局）</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341722020156</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ST2156</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历坝村上林山组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舒立华后山崩塌</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6</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50</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8" w:space="0"/>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341722020159</w:t>
            </w:r>
          </w:p>
        </w:tc>
        <w:tc>
          <w:tcPr>
            <w:tcW w:w="851" w:type="dxa"/>
            <w:tcBorders>
              <w:top w:val="single" w:color="auto" w:sz="4" w:space="0"/>
              <w:left w:val="nil"/>
              <w:bottom w:val="single" w:color="auto" w:sz="4" w:space="0"/>
              <w:right w:val="single" w:color="auto" w:sz="4" w:space="0"/>
            </w:tcBorders>
            <w:shd w:val="clear" w:color="000000" w:fill="FFFFFF"/>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ST2159</w:t>
            </w:r>
          </w:p>
        </w:tc>
        <w:tc>
          <w:tcPr>
            <w:tcW w:w="851"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tc>
        <w:tc>
          <w:tcPr>
            <w:tcW w:w="1843"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历坝村上林山组</w:t>
            </w:r>
          </w:p>
        </w:tc>
        <w:tc>
          <w:tcPr>
            <w:tcW w:w="2834"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舒才旺屋后滑坡</w:t>
            </w:r>
          </w:p>
        </w:tc>
        <w:tc>
          <w:tcPr>
            <w:tcW w:w="851"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4</w:t>
            </w:r>
          </w:p>
        </w:tc>
        <w:tc>
          <w:tcPr>
            <w:tcW w:w="709"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19</w:t>
            </w:r>
          </w:p>
        </w:tc>
        <w:tc>
          <w:tcPr>
            <w:tcW w:w="851"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90</w:t>
            </w:r>
          </w:p>
        </w:tc>
        <w:tc>
          <w:tcPr>
            <w:tcW w:w="708"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single" w:color="auto" w:sz="4" w:space="0"/>
              <w:left w:val="nil"/>
              <w:bottom w:val="single" w:color="auto" w:sz="4" w:space="0"/>
              <w:right w:val="single" w:color="auto" w:sz="4" w:space="0"/>
            </w:tcBorders>
            <w:shd w:val="clear" w:color="000000" w:fill="FFFFFF"/>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single" w:color="auto" w:sz="4" w:space="0"/>
              <w:left w:val="nil"/>
              <w:bottom w:val="single" w:color="auto" w:sz="4" w:space="0"/>
              <w:right w:val="single" w:color="auto" w:sz="8" w:space="0"/>
            </w:tcBorders>
            <w:shd w:val="clear" w:color="000000" w:fill="FFFFFF"/>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341722010124</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ST1124</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tc>
        <w:tc>
          <w:tcPr>
            <w:tcW w:w="1843"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香口村古谭组</w:t>
            </w:r>
          </w:p>
        </w:tc>
        <w:tc>
          <w:tcPr>
            <w:tcW w:w="2834" w:type="dxa"/>
            <w:tcBorders>
              <w:top w:val="nil"/>
              <w:left w:val="nil"/>
              <w:bottom w:val="single" w:color="auto" w:sz="4" w:space="0"/>
              <w:right w:val="single" w:color="auto" w:sz="4" w:space="0"/>
            </w:tcBorders>
            <w:noWrap w:val="0"/>
            <w:vAlign w:val="center"/>
          </w:tcPr>
          <w:p>
            <w:pPr>
              <w:widowControl/>
              <w:spacing w:line="22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古谭组滑坡原S221线</w:t>
            </w:r>
          </w:p>
          <w:p>
            <w:pPr>
              <w:widowControl/>
              <w:spacing w:line="22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75k+200 （现G237）</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341722010018</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ST1018</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tc>
        <w:tc>
          <w:tcPr>
            <w:tcW w:w="1843"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兰关村上石家</w:t>
            </w:r>
          </w:p>
        </w:tc>
        <w:tc>
          <w:tcPr>
            <w:tcW w:w="2834"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上石家滑坡（原S325线44k+800m）（现G530）</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基本</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341722020040</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ST2040</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tc>
        <w:tc>
          <w:tcPr>
            <w:tcW w:w="1843"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横渡村</w:t>
            </w:r>
          </w:p>
        </w:tc>
        <w:tc>
          <w:tcPr>
            <w:tcW w:w="2834"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广平组崩塌（原S221线81k+800m）（现G237）</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基本</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341722010039</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ST1039</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横渡镇</w:t>
            </w:r>
          </w:p>
        </w:tc>
        <w:tc>
          <w:tcPr>
            <w:tcW w:w="1843"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横渡村</w:t>
            </w:r>
          </w:p>
        </w:tc>
        <w:tc>
          <w:tcPr>
            <w:tcW w:w="2834"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大跃岭滑坡（原S221线83k+950m）（现G237）</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基本</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341722010029</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ST1029</w:t>
            </w:r>
          </w:p>
        </w:tc>
        <w:tc>
          <w:tcPr>
            <w:tcW w:w="851" w:type="dxa"/>
            <w:tcBorders>
              <w:top w:val="nil"/>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横渡镇</w:t>
            </w:r>
          </w:p>
        </w:tc>
        <w:tc>
          <w:tcPr>
            <w:tcW w:w="1843" w:type="dxa"/>
            <w:tcBorders>
              <w:top w:val="nil"/>
              <w:left w:val="nil"/>
              <w:bottom w:val="single" w:color="auto" w:sz="4" w:space="0"/>
              <w:right w:val="single" w:color="auto" w:sz="4" w:space="0"/>
            </w:tcBorders>
            <w:noWrap w:val="0"/>
            <w:vAlign w:val="center"/>
          </w:tcPr>
          <w:p>
            <w:pPr>
              <w:spacing w:line="240" w:lineRule="exact"/>
              <w:ind w:firstLine="420" w:firstLineChars="200"/>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河西村</w:t>
            </w:r>
          </w:p>
          <w:p>
            <w:pPr>
              <w:spacing w:line="240" w:lineRule="exact"/>
              <w:ind w:firstLine="420" w:firstLineChars="200"/>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狮马岭组</w:t>
            </w:r>
          </w:p>
        </w:tc>
        <w:tc>
          <w:tcPr>
            <w:tcW w:w="2834"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狮马岭滑坡</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70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8</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50</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横渡镇</w:t>
            </w:r>
          </w:p>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341722010157</w:t>
            </w:r>
          </w:p>
        </w:tc>
        <w:tc>
          <w:tcPr>
            <w:tcW w:w="851"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ST1157</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横渡镇</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鸿陵村车田组</w:t>
            </w:r>
          </w:p>
        </w:tc>
        <w:tc>
          <w:tcPr>
            <w:tcW w:w="283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车田组邹后桃屋后</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w:t>
            </w:r>
          </w:p>
        </w:tc>
        <w:tc>
          <w:tcPr>
            <w:tcW w:w="709"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9</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70</w:t>
            </w:r>
          </w:p>
        </w:tc>
        <w:tc>
          <w:tcPr>
            <w:tcW w:w="708"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横渡镇</w:t>
            </w:r>
          </w:p>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341722010003</w:t>
            </w:r>
          </w:p>
        </w:tc>
        <w:tc>
          <w:tcPr>
            <w:tcW w:w="851" w:type="dxa"/>
            <w:tcBorders>
              <w:top w:val="single" w:color="auto" w:sz="4" w:space="0"/>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ST1003</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tc>
        <w:tc>
          <w:tcPr>
            <w:tcW w:w="1843"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莲花村上屋组</w:t>
            </w:r>
          </w:p>
        </w:tc>
        <w:tc>
          <w:tcPr>
            <w:tcW w:w="2834"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上屋组滑坡</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4</w:t>
            </w:r>
          </w:p>
        </w:tc>
        <w:tc>
          <w:tcPr>
            <w:tcW w:w="709"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18</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70</w:t>
            </w:r>
          </w:p>
        </w:tc>
        <w:tc>
          <w:tcPr>
            <w:tcW w:w="708"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single" w:color="auto" w:sz="4" w:space="0"/>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341722010038</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ST1038</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大山村仙寓山组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仙寓山组滑坡</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4</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15</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341722010158</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ST1158</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山溪村五组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汤贵平屋后滑坡</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15</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341722020158</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ST2158</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大山村双坑组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雍家胜户屋后崩塌</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1 </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5 </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20 </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341722040002</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ST4002</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奇峰村罗家组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李光海户地面塌陷</w:t>
            </w:r>
          </w:p>
        </w:tc>
        <w:tc>
          <w:tcPr>
            <w:tcW w:w="851"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岩溶</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塌陷</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1 </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2 </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20 </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仙寓镇</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341722020155</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ST2155</w:t>
            </w:r>
          </w:p>
        </w:tc>
        <w:tc>
          <w:tcPr>
            <w:tcW w:w="851" w:type="dxa"/>
            <w:tcBorders>
              <w:top w:val="nil"/>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仙寓镇</w:t>
            </w:r>
          </w:p>
        </w:tc>
        <w:tc>
          <w:tcPr>
            <w:tcW w:w="1843"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莲花村中屋组</w:t>
            </w:r>
          </w:p>
        </w:tc>
        <w:tc>
          <w:tcPr>
            <w:tcW w:w="2834"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中屋组潜在崩塌</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12</w:t>
            </w:r>
          </w:p>
        </w:tc>
        <w:tc>
          <w:tcPr>
            <w:tcW w:w="70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60</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150</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仙寓镇</w:t>
            </w:r>
          </w:p>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341722010019</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ST1019</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大演乡</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新农村合山组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合山组滑坡</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5</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大演乡</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341722030044</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ST3044</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大演乡</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新塘村二组</w:t>
            </w:r>
          </w:p>
        </w:tc>
        <w:tc>
          <w:tcPr>
            <w:tcW w:w="2834"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唐辉屋后潜在泥石流</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泥石流</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9</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35</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大演乡</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341722020011</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ST2011</w:t>
            </w:r>
          </w:p>
        </w:tc>
        <w:tc>
          <w:tcPr>
            <w:tcW w:w="851" w:type="dxa"/>
            <w:tcBorders>
              <w:top w:val="nil"/>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tc>
        <w:tc>
          <w:tcPr>
            <w:tcW w:w="1843"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青联村下坡石组</w:t>
            </w:r>
          </w:p>
        </w:tc>
        <w:tc>
          <w:tcPr>
            <w:tcW w:w="2834"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下坡石崩塌</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w:t>
            </w:r>
          </w:p>
        </w:tc>
        <w:tc>
          <w:tcPr>
            <w:tcW w:w="70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5</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341722010036</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ST1036</w:t>
            </w:r>
          </w:p>
        </w:tc>
        <w:tc>
          <w:tcPr>
            <w:tcW w:w="851" w:type="dxa"/>
            <w:tcBorders>
              <w:top w:val="nil"/>
              <w:left w:val="single" w:color="auto" w:sz="4" w:space="0"/>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tc>
        <w:tc>
          <w:tcPr>
            <w:tcW w:w="1843"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新联村三、四组</w:t>
            </w:r>
          </w:p>
        </w:tc>
        <w:tc>
          <w:tcPr>
            <w:tcW w:w="2834"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三、四组滑坡</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15</w:t>
            </w:r>
          </w:p>
        </w:tc>
        <w:tc>
          <w:tcPr>
            <w:tcW w:w="70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27</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150</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341722010161</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ST1161</w:t>
            </w:r>
          </w:p>
        </w:tc>
        <w:tc>
          <w:tcPr>
            <w:tcW w:w="851" w:type="dxa"/>
            <w:tcBorders>
              <w:top w:val="nil"/>
              <w:left w:val="single" w:color="auto" w:sz="4" w:space="0"/>
              <w:bottom w:val="single" w:color="auto" w:sz="4" w:space="0"/>
              <w:right w:val="single" w:color="auto" w:sz="4" w:space="0"/>
            </w:tcBorders>
            <w:noWrap w:val="0"/>
            <w:vAlign w:val="center"/>
          </w:tcPr>
          <w:p>
            <w:pPr>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tc>
        <w:tc>
          <w:tcPr>
            <w:tcW w:w="1843"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剡溪村秧田组</w:t>
            </w:r>
          </w:p>
        </w:tc>
        <w:tc>
          <w:tcPr>
            <w:tcW w:w="2834"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陈召红等户屋后滑坡</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 </w:t>
            </w:r>
          </w:p>
        </w:tc>
        <w:tc>
          <w:tcPr>
            <w:tcW w:w="709"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10 </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 xml:space="preserve">35 </w:t>
            </w:r>
          </w:p>
        </w:tc>
        <w:tc>
          <w:tcPr>
            <w:tcW w:w="708"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spacing w:line="240" w:lineRule="exact"/>
              <w:jc w:val="center"/>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大演乡</w:t>
            </w:r>
          </w:p>
          <w:p>
            <w:pPr>
              <w:spacing w:line="240" w:lineRule="exact"/>
              <w:jc w:val="both"/>
              <w:rPr>
                <w:rFonts w:hint="default" w:ascii="Times New Roman" w:hAnsi="Times New Roman" w:eastAsia="仿宋_GB2312" w:cs="Times New Roman"/>
                <w:color w:val="000000" w:themeColor="text1"/>
                <w:sz w:val="21"/>
                <w:szCs w:val="21"/>
                <w14:textFill>
                  <w14:solidFill>
                    <w14:schemeClr w14:val="tx1"/>
                  </w14:solidFill>
                </w14:textFill>
              </w:rPr>
            </w:pPr>
            <w:r>
              <w:rPr>
                <w:rFonts w:hint="default" w:ascii="Times New Roman" w:hAnsi="Times New Roman" w:eastAsia="仿宋_GB2312" w:cs="Times New Roman"/>
                <w:color w:val="000000" w:themeColor="text1"/>
                <w:sz w:val="21"/>
                <w:szCs w:val="21"/>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341722020034</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ST2034</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七都镇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黄泥坦</w:t>
            </w:r>
          </w:p>
        </w:tc>
        <w:tc>
          <w:tcPr>
            <w:tcW w:w="2834"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黄泥坦崩塌</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（X027线5k+200m）</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基本</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341722010026</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ST1026</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七都镇</w:t>
            </w:r>
          </w:p>
        </w:tc>
        <w:tc>
          <w:tcPr>
            <w:tcW w:w="1843" w:type="dxa"/>
            <w:tcBorders>
              <w:top w:val="nil"/>
              <w:left w:val="nil"/>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毕家村</w:t>
            </w:r>
          </w:p>
        </w:tc>
        <w:tc>
          <w:tcPr>
            <w:tcW w:w="2834"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毕家村滑坡（原S325线36k+300m）（现G530）</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基本</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稳定</w:t>
            </w:r>
          </w:p>
        </w:tc>
        <w:tc>
          <w:tcPr>
            <w:tcW w:w="1134" w:type="dxa"/>
            <w:tcBorders>
              <w:top w:val="nil"/>
              <w:left w:val="nil"/>
              <w:bottom w:val="single" w:color="auto" w:sz="4" w:space="0"/>
              <w:right w:val="single" w:color="auto" w:sz="8"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341722020033</w:t>
            </w:r>
          </w:p>
        </w:tc>
        <w:tc>
          <w:tcPr>
            <w:tcW w:w="851" w:type="dxa"/>
            <w:tcBorders>
              <w:top w:val="single" w:color="auto" w:sz="4" w:space="0"/>
              <w:left w:val="single" w:color="auto" w:sz="4" w:space="0"/>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ST2033</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七都镇</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陈家村</w:t>
            </w:r>
          </w:p>
        </w:tc>
        <w:tc>
          <w:tcPr>
            <w:tcW w:w="2834"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陈家村崩塌（原S325线30k+350m）（现G530）</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9"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w:t>
            </w:r>
          </w:p>
        </w:tc>
        <w:tc>
          <w:tcPr>
            <w:tcW w:w="708"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基本</w:t>
            </w:r>
          </w:p>
          <w:p>
            <w:pPr>
              <w:widowControl/>
              <w:spacing w:line="260" w:lineRule="exact"/>
              <w:ind w:firstLine="400" w:firstLineChars="200"/>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稳定</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县公路</w:t>
            </w:r>
          </w:p>
          <w:p>
            <w:pPr>
              <w:widowControl/>
              <w:spacing w:line="26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分局</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8"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341722010008</w:t>
            </w:r>
          </w:p>
        </w:tc>
        <w:tc>
          <w:tcPr>
            <w:tcW w:w="851" w:type="dxa"/>
            <w:tcBorders>
              <w:top w:val="single" w:color="auto" w:sz="4" w:space="0"/>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ST1008</w:t>
            </w:r>
          </w:p>
        </w:tc>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七都镇</w:t>
            </w:r>
          </w:p>
        </w:tc>
        <w:tc>
          <w:tcPr>
            <w:tcW w:w="1843"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新棚村杨梅坞</w:t>
            </w:r>
          </w:p>
        </w:tc>
        <w:tc>
          <w:tcPr>
            <w:tcW w:w="2834"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杨梅坞滑坡</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滑坡</w:t>
            </w:r>
          </w:p>
        </w:tc>
        <w:tc>
          <w:tcPr>
            <w:tcW w:w="708"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8</w:t>
            </w:r>
          </w:p>
        </w:tc>
        <w:tc>
          <w:tcPr>
            <w:tcW w:w="70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18</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180</w:t>
            </w:r>
          </w:p>
        </w:tc>
        <w:tc>
          <w:tcPr>
            <w:tcW w:w="708"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小型</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不稳定</w:t>
            </w:r>
          </w:p>
        </w:tc>
        <w:tc>
          <w:tcPr>
            <w:tcW w:w="1134" w:type="dxa"/>
            <w:tcBorders>
              <w:top w:val="single" w:color="auto" w:sz="4" w:space="0"/>
              <w:left w:val="nil"/>
              <w:bottom w:val="single" w:color="auto" w:sz="4" w:space="0"/>
              <w:right w:val="single" w:color="auto" w:sz="8"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lang w:val="en-US" w:eastAsia="zh-CN"/>
                <w14:textFill>
                  <w14:solidFill>
                    <w14:schemeClr w14:val="tx1"/>
                  </w14:solidFill>
                </w14:textFill>
              </w:rPr>
              <w:t>七都</w:t>
            </w:r>
            <w:r>
              <w:rPr>
                <w:rFonts w:hint="default" w:ascii="Times New Roman" w:hAnsi="Times New Roman" w:cs="Times New Roman"/>
                <w:color w:val="000000" w:themeColor="text1"/>
                <w:sz w:val="20"/>
                <w:szCs w:val="20"/>
                <w14:textFill>
                  <w14:solidFill>
                    <w14:schemeClr w14:val="tx1"/>
                  </w14:solidFill>
                </w14:textFill>
              </w:rPr>
              <w:t>镇政府</w:t>
            </w:r>
          </w:p>
        </w:tc>
      </w:tr>
      <w:tr>
        <w:tblPrEx>
          <w:tblLayout w:type="fixed"/>
          <w:tblCellMar>
            <w:top w:w="0" w:type="dxa"/>
            <w:left w:w="108" w:type="dxa"/>
            <w:bottom w:w="0" w:type="dxa"/>
            <w:right w:w="108" w:type="dxa"/>
          </w:tblCellMar>
        </w:tblPrEx>
        <w:trPr>
          <w:trHeight w:val="567" w:hRule="exact"/>
        </w:trPr>
        <w:tc>
          <w:tcPr>
            <w:tcW w:w="1716" w:type="dxa"/>
            <w:tcBorders>
              <w:top w:val="nil"/>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341722020157</w:t>
            </w:r>
          </w:p>
        </w:tc>
        <w:tc>
          <w:tcPr>
            <w:tcW w:w="851" w:type="dxa"/>
            <w:tcBorders>
              <w:top w:val="nil"/>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ST2156</w:t>
            </w:r>
          </w:p>
        </w:tc>
        <w:tc>
          <w:tcPr>
            <w:tcW w:w="851" w:type="dxa"/>
            <w:tcBorders>
              <w:top w:val="nil"/>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小河镇</w:t>
            </w:r>
          </w:p>
        </w:tc>
        <w:tc>
          <w:tcPr>
            <w:tcW w:w="1843"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红石村红街组</w:t>
            </w:r>
          </w:p>
        </w:tc>
        <w:tc>
          <w:tcPr>
            <w:tcW w:w="2834"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杨兴国户崩塌</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1 </w:t>
            </w:r>
          </w:p>
        </w:tc>
        <w:tc>
          <w:tcPr>
            <w:tcW w:w="709"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2 </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 xml:space="preserve">5 </w:t>
            </w:r>
          </w:p>
        </w:tc>
        <w:tc>
          <w:tcPr>
            <w:tcW w:w="708"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nil"/>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nil"/>
              <w:left w:val="nil"/>
              <w:bottom w:val="single" w:color="auto" w:sz="4" w:space="0"/>
              <w:right w:val="single" w:color="auto" w:sz="8" w:space="0"/>
            </w:tcBorders>
            <w:noWrap w:val="0"/>
            <w:vAlign w:val="center"/>
          </w:tcPr>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小河镇</w:t>
            </w:r>
          </w:p>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341722010042</w:t>
            </w:r>
          </w:p>
        </w:tc>
        <w:tc>
          <w:tcPr>
            <w:tcW w:w="851" w:type="dxa"/>
            <w:tcBorders>
              <w:top w:val="single" w:color="auto" w:sz="4" w:space="0"/>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ST1042</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丁香镇</w:t>
            </w:r>
          </w:p>
        </w:tc>
        <w:tc>
          <w:tcPr>
            <w:tcW w:w="1843"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西柏村大垅组</w:t>
            </w:r>
          </w:p>
        </w:tc>
        <w:tc>
          <w:tcPr>
            <w:tcW w:w="2834"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大垅组滑坡</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滑坡</w:t>
            </w:r>
          </w:p>
        </w:tc>
        <w:tc>
          <w:tcPr>
            <w:tcW w:w="708"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709"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1</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6</w:t>
            </w:r>
          </w:p>
        </w:tc>
        <w:tc>
          <w:tcPr>
            <w:tcW w:w="708"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single" w:color="auto" w:sz="4" w:space="0"/>
              <w:left w:val="nil"/>
              <w:bottom w:val="single" w:color="auto" w:sz="4" w:space="0"/>
              <w:right w:val="single" w:color="auto" w:sz="8" w:space="0"/>
            </w:tcBorders>
            <w:noWrap w:val="0"/>
            <w:vAlign w:val="center"/>
          </w:tcPr>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丁香镇</w:t>
            </w:r>
          </w:p>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8" w:space="0"/>
              <w:bottom w:val="single" w:color="auto" w:sz="4" w:space="0"/>
              <w:right w:val="single" w:color="auto" w:sz="4" w:space="0"/>
            </w:tcBorders>
            <w:noWrap w:val="0"/>
            <w:vAlign w:val="center"/>
          </w:tcPr>
          <w:p>
            <w:pPr>
              <w:widowControl/>
              <w:spacing w:line="26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341722020039</w:t>
            </w:r>
          </w:p>
        </w:tc>
        <w:tc>
          <w:tcPr>
            <w:tcW w:w="851" w:type="dxa"/>
            <w:tcBorders>
              <w:top w:val="single" w:color="auto" w:sz="4" w:space="0"/>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ST2039</w:t>
            </w:r>
          </w:p>
        </w:tc>
        <w:tc>
          <w:tcPr>
            <w:tcW w:w="851" w:type="dxa"/>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丁香镇</w:t>
            </w:r>
          </w:p>
        </w:tc>
        <w:tc>
          <w:tcPr>
            <w:tcW w:w="1843" w:type="dxa"/>
            <w:tcBorders>
              <w:top w:val="single" w:color="auto" w:sz="4" w:space="0"/>
              <w:left w:val="nil"/>
              <w:bottom w:val="single" w:color="auto" w:sz="4" w:space="0"/>
              <w:right w:val="single" w:color="auto" w:sz="4" w:space="0"/>
            </w:tcBorders>
            <w:noWrap w:val="0"/>
            <w:vAlign w:val="center"/>
          </w:tcPr>
          <w:p>
            <w:pPr>
              <w:spacing w:line="22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西柏村大垅组</w:t>
            </w:r>
          </w:p>
        </w:tc>
        <w:tc>
          <w:tcPr>
            <w:tcW w:w="2834" w:type="dxa"/>
            <w:tcBorders>
              <w:top w:val="single" w:color="auto" w:sz="4" w:space="0"/>
              <w:left w:val="nil"/>
              <w:bottom w:val="single" w:color="auto" w:sz="4" w:space="0"/>
              <w:right w:val="single" w:color="auto" w:sz="4" w:space="0"/>
            </w:tcBorders>
            <w:noWrap w:val="0"/>
            <w:vAlign w:val="center"/>
          </w:tcPr>
          <w:p>
            <w:pPr>
              <w:spacing w:line="22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西柏村大垅组崩塌</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崩塌</w:t>
            </w:r>
          </w:p>
        </w:tc>
        <w:tc>
          <w:tcPr>
            <w:tcW w:w="708"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2</w:t>
            </w:r>
          </w:p>
        </w:tc>
        <w:tc>
          <w:tcPr>
            <w:tcW w:w="709"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6</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30</w:t>
            </w:r>
          </w:p>
        </w:tc>
        <w:tc>
          <w:tcPr>
            <w:tcW w:w="708"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小型</w:t>
            </w:r>
          </w:p>
        </w:tc>
        <w:tc>
          <w:tcPr>
            <w:tcW w:w="851" w:type="dxa"/>
            <w:tcBorders>
              <w:top w:val="single" w:color="auto" w:sz="4" w:space="0"/>
              <w:left w:val="nil"/>
              <w:bottom w:val="single" w:color="auto" w:sz="4" w:space="0"/>
              <w:right w:val="single" w:color="auto" w:sz="4" w:space="0"/>
            </w:tcBorders>
            <w:noWrap w:val="0"/>
            <w:vAlign w:val="center"/>
          </w:tcPr>
          <w:p>
            <w:pPr>
              <w:widowControl/>
              <w:spacing w:line="220" w:lineRule="exact"/>
              <w:jc w:val="center"/>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不稳定</w:t>
            </w:r>
          </w:p>
        </w:tc>
        <w:tc>
          <w:tcPr>
            <w:tcW w:w="1134" w:type="dxa"/>
            <w:tcBorders>
              <w:top w:val="single" w:color="auto" w:sz="4" w:space="0"/>
              <w:left w:val="nil"/>
              <w:bottom w:val="single" w:color="auto" w:sz="4" w:space="0"/>
              <w:right w:val="single" w:color="auto" w:sz="8" w:space="0"/>
            </w:tcBorders>
            <w:noWrap w:val="0"/>
            <w:vAlign w:val="center"/>
          </w:tcPr>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丁香镇</w:t>
            </w:r>
          </w:p>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567" w:hRule="exact"/>
        </w:trPr>
        <w:tc>
          <w:tcPr>
            <w:tcW w:w="1716" w:type="dxa"/>
            <w:tcBorders>
              <w:top w:val="single" w:color="auto" w:sz="4" w:space="0"/>
              <w:left w:val="single" w:color="auto" w:sz="8"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341722010155</w:t>
            </w:r>
          </w:p>
        </w:tc>
        <w:tc>
          <w:tcPr>
            <w:tcW w:w="851" w:type="dxa"/>
            <w:tcBorders>
              <w:top w:val="single" w:color="auto" w:sz="4" w:space="0"/>
              <w:left w:val="nil"/>
              <w:bottom w:val="single" w:color="auto" w:sz="4" w:space="0"/>
              <w:right w:val="single" w:color="auto" w:sz="4" w:space="0"/>
            </w:tcBorders>
            <w:noWrap w:val="0"/>
            <w:vAlign w:val="center"/>
          </w:tcPr>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ST1155</w:t>
            </w:r>
          </w:p>
        </w:tc>
        <w:tc>
          <w:tcPr>
            <w:tcW w:w="851"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丁香镇</w:t>
            </w:r>
          </w:p>
        </w:tc>
        <w:tc>
          <w:tcPr>
            <w:tcW w:w="1843"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红桃村马石组</w:t>
            </w:r>
          </w:p>
        </w:tc>
        <w:tc>
          <w:tcPr>
            <w:tcW w:w="2834"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红桃村马石组滑坡</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滑坡</w:t>
            </w:r>
          </w:p>
        </w:tc>
        <w:tc>
          <w:tcPr>
            <w:tcW w:w="708"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w:t>
            </w:r>
          </w:p>
        </w:tc>
        <w:tc>
          <w:tcPr>
            <w:tcW w:w="709"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5</w:t>
            </w:r>
          </w:p>
        </w:tc>
        <w:tc>
          <w:tcPr>
            <w:tcW w:w="708"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小型</w:t>
            </w:r>
          </w:p>
        </w:tc>
        <w:tc>
          <w:tcPr>
            <w:tcW w:w="851" w:type="dxa"/>
            <w:tcBorders>
              <w:top w:val="single" w:color="auto" w:sz="4" w:space="0"/>
              <w:left w:val="nil"/>
              <w:bottom w:val="single" w:color="auto" w:sz="4"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不稳定</w:t>
            </w:r>
          </w:p>
        </w:tc>
        <w:tc>
          <w:tcPr>
            <w:tcW w:w="1134" w:type="dxa"/>
            <w:tcBorders>
              <w:top w:val="single" w:color="auto" w:sz="4" w:space="0"/>
              <w:left w:val="nil"/>
              <w:bottom w:val="single" w:color="auto" w:sz="4" w:space="0"/>
              <w:right w:val="single" w:color="auto" w:sz="8" w:space="0"/>
            </w:tcBorders>
            <w:noWrap w:val="0"/>
            <w:vAlign w:val="center"/>
          </w:tcPr>
          <w:p>
            <w:pPr>
              <w:widowControl/>
              <w:spacing w:line="220" w:lineRule="exact"/>
              <w:jc w:val="both"/>
              <w:rPr>
                <w:rFonts w:hint="default" w:ascii="Times New Roman" w:hAnsi="Times New Roman" w:cs="Times New Roman"/>
                <w:color w:val="000000" w:themeColor="text1"/>
                <w:kern w:val="0"/>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丁香镇</w:t>
            </w:r>
          </w:p>
          <w:p>
            <w:pPr>
              <w:spacing w:line="240" w:lineRule="exact"/>
              <w:jc w:val="both"/>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kern w:val="0"/>
                <w:sz w:val="20"/>
                <w:szCs w:val="20"/>
                <w14:textFill>
                  <w14:solidFill>
                    <w14:schemeClr w14:val="tx1"/>
                  </w14:solidFill>
                </w14:textFill>
              </w:rPr>
              <w:t>政府</w:t>
            </w:r>
          </w:p>
        </w:tc>
      </w:tr>
      <w:tr>
        <w:tblPrEx>
          <w:tblLayout w:type="fixed"/>
          <w:tblCellMar>
            <w:top w:w="0" w:type="dxa"/>
            <w:left w:w="108" w:type="dxa"/>
            <w:bottom w:w="0" w:type="dxa"/>
            <w:right w:w="108" w:type="dxa"/>
          </w:tblCellMar>
        </w:tblPrEx>
        <w:trPr>
          <w:trHeight w:val="454" w:hRule="exact"/>
        </w:trPr>
        <w:tc>
          <w:tcPr>
            <w:tcW w:w="1716" w:type="dxa"/>
            <w:tcBorders>
              <w:top w:val="single" w:color="auto" w:sz="4" w:space="0"/>
              <w:left w:val="single" w:color="auto" w:sz="8" w:space="0"/>
              <w:bottom w:val="single" w:color="auto" w:sz="8"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合   计</w:t>
            </w:r>
          </w:p>
        </w:tc>
        <w:tc>
          <w:tcPr>
            <w:tcW w:w="851" w:type="dxa"/>
            <w:tcBorders>
              <w:top w:val="single" w:color="auto" w:sz="4" w:space="0"/>
              <w:left w:val="nil"/>
              <w:bottom w:val="single" w:color="auto" w:sz="8" w:space="0"/>
              <w:right w:val="nil"/>
            </w:tcBorders>
            <w:noWrap w:val="0"/>
            <w:vAlign w:val="top"/>
          </w:tcPr>
          <w:p>
            <w:pPr>
              <w:jc w:val="center"/>
              <w:rPr>
                <w:rFonts w:hint="default" w:ascii="Times New Roman" w:hAnsi="Times New Roman" w:cs="Times New Roman"/>
                <w:color w:val="000000" w:themeColor="text1"/>
                <w:sz w:val="20"/>
                <w:szCs w:val="20"/>
                <w14:textFill>
                  <w14:solidFill>
                    <w14:schemeClr w14:val="tx1"/>
                  </w14:solidFill>
                </w14:textFill>
              </w:rPr>
            </w:pPr>
          </w:p>
        </w:tc>
        <w:tc>
          <w:tcPr>
            <w:tcW w:w="851" w:type="dxa"/>
            <w:tcBorders>
              <w:top w:val="single" w:color="auto" w:sz="4" w:space="0"/>
              <w:left w:val="nil"/>
              <w:bottom w:val="single" w:color="auto" w:sz="8" w:space="0"/>
              <w:right w:val="single" w:color="auto" w:sz="4" w:space="0"/>
            </w:tcBorders>
            <w:noWrap w:val="0"/>
            <w:vAlign w:val="center"/>
          </w:tcPr>
          <w:p>
            <w:pPr>
              <w:jc w:val="center"/>
              <w:rPr>
                <w:rFonts w:hint="default" w:ascii="Times New Roman" w:hAnsi="Times New Roman" w:cs="Times New Roman"/>
                <w:color w:val="000000" w:themeColor="text1"/>
                <w:sz w:val="20"/>
                <w:szCs w:val="20"/>
                <w14:textFill>
                  <w14:solidFill>
                    <w14:schemeClr w14:val="tx1"/>
                  </w14:solidFill>
                </w14:textFill>
              </w:rPr>
            </w:pPr>
          </w:p>
        </w:tc>
        <w:tc>
          <w:tcPr>
            <w:tcW w:w="1843"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p>
        </w:tc>
        <w:tc>
          <w:tcPr>
            <w:tcW w:w="2834"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p>
        </w:tc>
        <w:tc>
          <w:tcPr>
            <w:tcW w:w="851"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p>
        </w:tc>
        <w:tc>
          <w:tcPr>
            <w:tcW w:w="708"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70</w:t>
            </w:r>
          </w:p>
        </w:tc>
        <w:tc>
          <w:tcPr>
            <w:tcW w:w="709"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218</w:t>
            </w:r>
          </w:p>
        </w:tc>
        <w:tc>
          <w:tcPr>
            <w:tcW w:w="851"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r>
              <w:rPr>
                <w:rFonts w:hint="default" w:ascii="Times New Roman" w:hAnsi="Times New Roman" w:cs="Times New Roman"/>
                <w:color w:val="000000" w:themeColor="text1"/>
                <w:sz w:val="20"/>
                <w:szCs w:val="20"/>
                <w14:textFill>
                  <w14:solidFill>
                    <w14:schemeClr w14:val="tx1"/>
                  </w14:solidFill>
                </w14:textFill>
              </w:rPr>
              <w:t>1012</w:t>
            </w:r>
          </w:p>
        </w:tc>
        <w:tc>
          <w:tcPr>
            <w:tcW w:w="708"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p>
        </w:tc>
        <w:tc>
          <w:tcPr>
            <w:tcW w:w="851" w:type="dxa"/>
            <w:tcBorders>
              <w:top w:val="single" w:color="auto" w:sz="4" w:space="0"/>
              <w:left w:val="nil"/>
              <w:bottom w:val="single" w:color="auto" w:sz="8" w:space="0"/>
              <w:right w:val="single" w:color="auto" w:sz="4"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p>
        </w:tc>
        <w:tc>
          <w:tcPr>
            <w:tcW w:w="1134" w:type="dxa"/>
            <w:tcBorders>
              <w:top w:val="single" w:color="auto" w:sz="4" w:space="0"/>
              <w:left w:val="nil"/>
              <w:bottom w:val="single" w:color="auto" w:sz="8" w:space="0"/>
              <w:right w:val="single" w:color="auto" w:sz="8" w:space="0"/>
            </w:tcBorders>
            <w:noWrap w:val="0"/>
            <w:vAlign w:val="center"/>
          </w:tcPr>
          <w:p>
            <w:pPr>
              <w:spacing w:line="240" w:lineRule="exact"/>
              <w:jc w:val="center"/>
              <w:rPr>
                <w:rFonts w:hint="default" w:ascii="Times New Roman" w:hAnsi="Times New Roman" w:cs="Times New Roman"/>
                <w:color w:val="000000" w:themeColor="text1"/>
                <w:sz w:val="20"/>
                <w:szCs w:val="20"/>
                <w14:textFill>
                  <w14:solidFill>
                    <w14:schemeClr w14:val="tx1"/>
                  </w14:solidFill>
                </w14:textFill>
              </w:rPr>
            </w:pPr>
          </w:p>
        </w:tc>
      </w:tr>
    </w:tbl>
    <w:p>
      <w:pPr>
        <w:rPr>
          <w:color w:val="000000" w:themeColor="text1"/>
          <w14:textFill>
            <w14:solidFill>
              <w14:schemeClr w14:val="tx1"/>
            </w14:solidFill>
          </w14:textFill>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404495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pStyle w:val="6"/>
                          </w:pPr>
                          <w: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31.85pt;height:144pt;width:144pt;mso-position-horizontal:outside;mso-position-horizontal-relative:margin;mso-wrap-style:none;z-index:251661312;mso-width-relative:page;mso-height-relative:page;" filled="f" stroked="f" coordsize="21600,21600" o:gfxdata="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K1QvLjYAAAABwEAAA8AAAAAAAAAAQAgAAAAIgAAAGRycy9kb3ducmV2LnhtbFBL&#10;AQIUABQAAAAIAIdO4kAIoXSmvQEAAGMDAAAOAAAAAAAAAAEAIAAAACcBAABkcnMvZTJvRG9jLnht&#10;bFBLBQYAAAAABgAGAFkBAABWBQAAAAA=&#10;">
              <v:fill on="f" focussize="0,0"/>
              <v:stroke on="f" weight="1.25pt"/>
              <v:imagedata o:title=""/>
              <o:lock v:ext="edit" aspectratio="f"/>
              <v:textbox inset="0mm,0mm,0mm,0mm" style="mso-fit-shape-to-text:t;">
                <w:txbxContent>
                  <w:p>
                    <w:pPr>
                      <w:pStyle w:val="6"/>
                    </w:pPr>
                    <w: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404495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pStyle w:val="6"/>
                          </w:pPr>
                          <w: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t xml:space="preserve"> </w:t>
                          </w:r>
                          <w:r>
                            <w:t>—</w:t>
                          </w:r>
                        </w:p>
                      </w:txbxContent>
                    </wps:txbx>
                    <wps:bodyPr wrap="none" lIns="0" tIns="0" rIns="0" bIns="0" upright="0">
                      <a:spAutoFit/>
                    </wps:bodyPr>
                  </wps:wsp>
                </a:graphicData>
              </a:graphic>
            </wp:anchor>
          </w:drawing>
        </mc:Choice>
        <mc:Fallback>
          <w:pict>
            <v:shape id="_x0000_s1026" o:spid="_x0000_s1026" o:spt="202" type="#_x0000_t202" style="position:absolute;left:0pt;margin-top:31.85pt;height:144pt;width:144pt;mso-position-horizontal:outside;mso-position-horizontal-relative:margin;mso-wrap-style:none;z-index:251660288;mso-width-relative:page;mso-height-relative:page;" filled="f" stroked="f" coordsize="21600,21600" o:gfxdata="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rVC8uNgAAAAHAQAADwAAAAAAAAABACAAAAAiAAAAZHJzL2Rvd25yZXYueG1sUEsB&#10;AhQAFAAAAAgAh07iQCNe3hi8AQAAYwMAAA4AAAAAAAAAAQAgAAAAJwEAAGRycy9lMm9Eb2MueG1s&#10;UEsFBgAAAAAGAAYAWQEAAFUFAAAAAA==&#10;">
              <v:fill on="f" focussize="0,0"/>
              <v:stroke on="f" weight="1.25pt"/>
              <v:imagedata o:title=""/>
              <o:lock v:ext="edit" aspectratio="f"/>
              <v:textbox inset="0mm,0mm,0mm,0mm" style="mso-fit-shape-to-text:t;">
                <w:txbxContent>
                  <w:p>
                    <w:pPr>
                      <w:pStyle w:val="6"/>
                    </w:pPr>
                    <w:r>
                      <w:t xml:space="preserve">— </w:t>
                    </w:r>
                    <w:r>
                      <w:rPr>
                        <w:rFonts w:hint="default" w:ascii="Times New Roman" w:hAnsi="Times New Roman" w:eastAsia="宋体" w:cs="Times New Roman"/>
                        <w:sz w:val="28"/>
                        <w:szCs w:val="28"/>
                      </w:rPr>
                      <w:fldChar w:fldCharType="begin"/>
                    </w:r>
                    <w:r>
                      <w:rPr>
                        <w:rFonts w:hint="default" w:ascii="Times New Roman" w:hAnsi="Times New Roman" w:eastAsia="宋体" w:cs="Times New Roman"/>
                        <w:sz w:val="28"/>
                        <w:szCs w:val="28"/>
                      </w:rPr>
                      <w:instrText xml:space="preserve"> PAGE  \* MERGEFORMAT </w:instrText>
                    </w:r>
                    <w:r>
                      <w:rPr>
                        <w:rFonts w:hint="default" w:ascii="Times New Roman" w:hAnsi="Times New Roman" w:eastAsia="宋体" w:cs="Times New Roman"/>
                        <w:sz w:val="28"/>
                        <w:szCs w:val="28"/>
                      </w:rPr>
                      <w:fldChar w:fldCharType="separate"/>
                    </w:r>
                    <w:r>
                      <w:rPr>
                        <w:rFonts w:hint="default" w:ascii="Times New Roman" w:hAnsi="Times New Roman" w:eastAsia="宋体" w:cs="Times New Roman"/>
                        <w:sz w:val="28"/>
                        <w:szCs w:val="28"/>
                      </w:rPr>
                      <w:t>1</w:t>
                    </w:r>
                    <w:r>
                      <w:rPr>
                        <w:rFonts w:hint="default" w:ascii="Times New Roman" w:hAnsi="Times New Roman" w:eastAsia="宋体" w:cs="Times New Roman"/>
                        <w:sz w:val="28"/>
                        <w:szCs w:val="28"/>
                      </w:rPr>
                      <w:fldChar w:fldCharType="end"/>
                    </w:r>
                    <w:r>
                      <w:rPr>
                        <w:rFonts w:hint="default" w:ascii="Times New Roman" w:hAnsi="Times New Roman" w:eastAsia="宋体" w:cs="Times New Roman"/>
                        <w:sz w:val="28"/>
                        <w:szCs w:val="28"/>
                      </w:rPr>
                      <w:t xml:space="preserve"> </w:t>
                    </w:r>
                    <w: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等线 Light" w:hAnsi="等线 Light" w:eastAsia="等线 Light"/>
        <w:sz w:val="28"/>
        <w:szCs w:val="28"/>
      </w:rPr>
    </w:pPr>
  </w:p>
  <w:p>
    <w:pPr>
      <w:pStyle w:val="6"/>
      <w:ind w:firstLine="360"/>
      <w:jc w:val="cente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404495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30</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31.85pt;height:144pt;width:144pt;mso-position-horizontal:outside;mso-position-horizontal-relative:margin;mso-wrap-style:none;z-index:251659264;mso-width-relative:page;mso-height-relative:page;" filled="f" stroked="f" coordsize="21600,21600" o:gfxdata="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rVC8uNgAAAAHAQAADwAAAAAAAAABACAAAAAiAAAAZHJzL2Rvd25yZXYueG1sUEsB&#10;AhQAFAAAAAgAh07iQHCvaJe8AQAAYwMAAA4AAAAAAAAAAQAgAAAAJwEAAGRycy9lMm9Eb2MueG1s&#10;UEsFBgAAAAAGAAYAWQEAAFUFAAAAAA==&#10;">
              <v:fill on="f" focussize="0,0"/>
              <v:stroke on="f" weight="1.25pt"/>
              <v:imagedata o:title=""/>
              <o:lock v:ext="edit" aspectratio="f"/>
              <v:textbox inset="0mm,0mm,0mm,0mm" style="mso-fit-shape-to-text:t;">
                <w:txbxContent>
                  <w:p>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30</w:t>
                    </w:r>
                    <w:r>
                      <w:rPr>
                        <w:sz w:val="28"/>
                        <w:szCs w:val="28"/>
                      </w:rPr>
                      <w:fldChar w:fldCharType="end"/>
                    </w:r>
                    <w:r>
                      <w:rPr>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等线 Light" w:hAnsi="等线 Light" w:eastAsia="等线 Light"/>
        <w:sz w:val="28"/>
        <w:szCs w:val="28"/>
      </w:rPr>
    </w:pPr>
  </w:p>
  <w:p>
    <w:pPr>
      <w:pStyle w:val="6"/>
      <w:ind w:firstLine="360"/>
      <w:jc w:val="center"/>
    </w:pPr>
    <w:r>
      <w:rPr>
        <w:sz w:val="2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404495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30</w:t>
                          </w:r>
                          <w:r>
                            <w:rPr>
                              <w:sz w:val="28"/>
                              <w:szCs w:val="28"/>
                            </w:rPr>
                            <w:fldChar w:fldCharType="end"/>
                          </w:r>
                          <w:r>
                            <w:rPr>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31.85pt;height:144pt;width:144pt;mso-position-horizontal:outside;mso-position-horizontal-relative:margin;mso-wrap-style:none;z-index:251663360;mso-width-relative:page;mso-height-relative:page;" filled="f" stroked="f" coordsize="21600,21600" o:gfxdata="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tULy42AAAAAcBAAAPAAAAAAAAAAEAIAAAACIAAABkcnMvZG93bnJldi54bWxQSwEC&#10;FAAUAAAACACHTuJANKb6vrsBAABjAwAADgAAAAAAAAABACAAAAAnAQAAZHJzL2Uyb0RvYy54bWxQ&#10;SwUGAAAAAAYABgBZAQAAVAUAAAAA&#10;">
              <v:fill on="f" focussize="0,0"/>
              <v:stroke on="f" weight="1.25pt"/>
              <v:imagedata o:title=""/>
              <o:lock v:ext="edit" aspectratio="f"/>
              <v:textbox inset="0mm,0mm,0mm,0mm" style="mso-fit-shape-to-text:t;">
                <w:txbxContent>
                  <w:p>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30</w:t>
                    </w:r>
                    <w:r>
                      <w:rPr>
                        <w:sz w:val="28"/>
                        <w:szCs w:val="28"/>
                      </w:rPr>
                      <w:fldChar w:fldCharType="end"/>
                    </w:r>
                    <w:r>
                      <w:rPr>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5MzNmZDgzNzMwMmE2N2NkMWZlMjMwMzYyOWRiMWUifQ=="/>
  </w:docVars>
  <w:rsids>
    <w:rsidRoot w:val="4203196E"/>
    <w:rsid w:val="00250DCA"/>
    <w:rsid w:val="005F4F0F"/>
    <w:rsid w:val="038A7207"/>
    <w:rsid w:val="04EE3311"/>
    <w:rsid w:val="0A6F4390"/>
    <w:rsid w:val="0DAC1440"/>
    <w:rsid w:val="0F8C089F"/>
    <w:rsid w:val="10ED2170"/>
    <w:rsid w:val="141D7FCF"/>
    <w:rsid w:val="15AF25EC"/>
    <w:rsid w:val="1B2F506D"/>
    <w:rsid w:val="1B64074A"/>
    <w:rsid w:val="1EAE73DF"/>
    <w:rsid w:val="284D2FCD"/>
    <w:rsid w:val="2A2F6136"/>
    <w:rsid w:val="2B0154D7"/>
    <w:rsid w:val="2F74298E"/>
    <w:rsid w:val="340B3FD9"/>
    <w:rsid w:val="39053153"/>
    <w:rsid w:val="3E340DE5"/>
    <w:rsid w:val="403A2548"/>
    <w:rsid w:val="41DE5331"/>
    <w:rsid w:val="4203196E"/>
    <w:rsid w:val="42371375"/>
    <w:rsid w:val="43E8651A"/>
    <w:rsid w:val="44EF72A8"/>
    <w:rsid w:val="455A7657"/>
    <w:rsid w:val="4AF76547"/>
    <w:rsid w:val="56B707CC"/>
    <w:rsid w:val="56C32385"/>
    <w:rsid w:val="58EC15F1"/>
    <w:rsid w:val="5A0D44CE"/>
    <w:rsid w:val="5CDE51AA"/>
    <w:rsid w:val="5EE10C9F"/>
    <w:rsid w:val="62DA2DBB"/>
    <w:rsid w:val="63C66843"/>
    <w:rsid w:val="66543299"/>
    <w:rsid w:val="6674562E"/>
    <w:rsid w:val="6BA668DF"/>
    <w:rsid w:val="6F0C249E"/>
    <w:rsid w:val="73AD70A4"/>
    <w:rsid w:val="75AF35CB"/>
    <w:rsid w:val="796E2C09"/>
    <w:rsid w:val="79BC6115"/>
    <w:rsid w:val="7B7E662D"/>
    <w:rsid w:val="7E354910"/>
    <w:rsid w:val="7FE66C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4"/>
    <w:next w:val="1"/>
    <w:qFormat/>
    <w:uiPriority w:val="0"/>
    <w:pPr>
      <w:spacing w:beforeAutospacing="0" w:afterAutospacing="0" w:line="660" w:lineRule="exact"/>
      <w:ind w:firstLine="0" w:firstLineChars="0"/>
      <w:jc w:val="center"/>
      <w:outlineLvl w:val="0"/>
    </w:pPr>
    <w:rPr>
      <w:rFonts w:ascii="宋体" w:hAnsi="宋体" w:eastAsia="方正小标宋简体"/>
      <w:kern w:val="44"/>
      <w:sz w:val="44"/>
      <w:szCs w:val="48"/>
    </w:rPr>
  </w:style>
  <w:style w:type="paragraph" w:styleId="2">
    <w:name w:val="heading 2"/>
    <w:basedOn w:val="1"/>
    <w:next w:val="1"/>
    <w:qFormat/>
    <w:uiPriority w:val="0"/>
    <w:pPr>
      <w:keepNext/>
      <w:keepLines/>
      <w:adjustRightInd w:val="0"/>
      <w:spacing w:before="156" w:beforeLines="50" w:after="156" w:afterLines="50"/>
      <w:jc w:val="left"/>
      <w:outlineLvl w:val="1"/>
    </w:pPr>
    <w:rPr>
      <w:rFonts w:eastAsia="楷体"/>
      <w:b/>
      <w:bCs/>
      <w:kern w:val="0"/>
      <w:sz w:val="32"/>
      <w:szCs w:val="32"/>
    </w:rPr>
  </w:style>
  <w:style w:type="character" w:default="1" w:styleId="10">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Title"/>
    <w:basedOn w:val="1"/>
    <w:next w:val="1"/>
    <w:qFormat/>
    <w:uiPriority w:val="0"/>
    <w:pPr>
      <w:spacing w:before="240" w:beforeLines="0" w:after="60" w:afterLines="0"/>
      <w:jc w:val="center"/>
      <w:outlineLvl w:val="0"/>
    </w:pPr>
    <w:rPr>
      <w:rFonts w:ascii="Cambria" w:hAnsi="Cambria" w:eastAsia="宋体" w:cs="Times New Roman"/>
      <w:b/>
      <w:bCs/>
      <w:sz w:val="32"/>
      <w:szCs w:val="32"/>
    </w:rPr>
  </w:style>
  <w:style w:type="paragraph" w:styleId="5">
    <w:name w:val="Normal Indent"/>
    <w:basedOn w:val="1"/>
    <w:qFormat/>
    <w:uiPriority w:val="0"/>
    <w:pPr>
      <w:ind w:firstLine="420" w:firstLineChars="200"/>
    </w:p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toc 1"/>
    <w:basedOn w:val="1"/>
    <w:next w:val="1"/>
    <w:qFormat/>
    <w:uiPriority w:val="39"/>
    <w:pPr>
      <w:spacing w:before="120" w:beforeLines="0" w:after="120" w:afterLines="0"/>
      <w:jc w:val="left"/>
    </w:pPr>
    <w:rPr>
      <w:b/>
      <w:bCs/>
      <w:caps/>
      <w:sz w:val="20"/>
      <w:szCs w:val="20"/>
    </w:rPr>
  </w:style>
  <w:style w:type="paragraph" w:styleId="8">
    <w:name w:val="toc 2"/>
    <w:basedOn w:val="1"/>
    <w:next w:val="1"/>
    <w:qFormat/>
    <w:uiPriority w:val="39"/>
    <w:pPr>
      <w:ind w:left="210"/>
      <w:jc w:val="left"/>
    </w:pPr>
    <w:rPr>
      <w:smallCaps/>
      <w:sz w:val="20"/>
      <w:szCs w:val="20"/>
    </w:rPr>
  </w:style>
  <w:style w:type="character" w:styleId="11">
    <w:name w:val="Hyperlink"/>
    <w:qFormat/>
    <w:uiPriority w:val="99"/>
    <w:rPr>
      <w:color w:val="0000FF"/>
      <w:u w:val="single"/>
    </w:rPr>
  </w:style>
  <w:style w:type="paragraph" w:customStyle="1" w:styleId="12">
    <w:name w:val="_Style 1"/>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0</Words>
  <Characters>0</Characters>
  <Lines>0</Lines>
  <Paragraphs>0</Paragraphs>
  <TotalTime>33</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2024-08-17T12:51:00Z</dcterms:created>
  <dc:creator>PC</dc:creator>
  <cp:lastModifiedBy>李艳乔</cp:lastModifiedBy>
  <dcterms:modified xsi:type="dcterms:W3CDTF">2025-10-27T09:46:02Z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E86059EEE6254A5E9FFE14921840F496_11</vt:lpwstr>
  </property>
</Properties>
</file>